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8A0A57">
      <w:pPr>
        <w:pStyle w:val="16"/>
        <w:snapToGrid w:val="0"/>
        <w:spacing w:before="0" w:after="0" w:line="600" w:lineRule="atLeast"/>
        <w:ind w:firstLine="0" w:firstLineChars="0"/>
        <w:jc w:val="both"/>
        <w:rPr>
          <w:rFonts w:hint="default" w:ascii="Times New Roman" w:hAnsi="Times New Roman" w:eastAsia="方正小标宋简体" w:cs="Times New Roman"/>
          <w:bCs/>
          <w:sz w:val="52"/>
          <w:szCs w:val="52"/>
          <w:highlight w:val="none"/>
        </w:rPr>
      </w:pPr>
    </w:p>
    <w:p w14:paraId="777F9C37">
      <w:pPr>
        <w:pStyle w:val="16"/>
        <w:snapToGrid w:val="0"/>
        <w:spacing w:before="0" w:after="0" w:line="600" w:lineRule="atLeast"/>
        <w:ind w:firstLine="0" w:firstLineChars="0"/>
        <w:jc w:val="both"/>
        <w:rPr>
          <w:rFonts w:hint="default" w:ascii="Times New Roman" w:hAnsi="Times New Roman" w:eastAsia="方正小标宋简体" w:cs="Times New Roman"/>
          <w:bCs/>
          <w:sz w:val="52"/>
          <w:szCs w:val="52"/>
          <w:highlight w:val="none"/>
        </w:rPr>
      </w:pPr>
    </w:p>
    <w:p w14:paraId="3AB50952">
      <w:pPr>
        <w:pStyle w:val="16"/>
        <w:snapToGrid w:val="0"/>
        <w:spacing w:before="0" w:after="0" w:line="600" w:lineRule="atLeast"/>
        <w:ind w:firstLine="0" w:firstLineChars="0"/>
        <w:jc w:val="both"/>
        <w:rPr>
          <w:rFonts w:hint="default" w:ascii="Times New Roman" w:hAnsi="Times New Roman" w:eastAsia="方正小标宋简体" w:cs="Times New Roman"/>
          <w:bCs/>
          <w:sz w:val="52"/>
          <w:szCs w:val="52"/>
          <w:highlight w:val="none"/>
        </w:rPr>
      </w:pPr>
    </w:p>
    <w:p w14:paraId="7B7892E3">
      <w:pPr>
        <w:pStyle w:val="16"/>
        <w:snapToGrid w:val="0"/>
        <w:spacing w:before="0" w:after="0" w:line="600" w:lineRule="atLeast"/>
        <w:ind w:firstLine="0" w:firstLineChars="0"/>
        <w:jc w:val="center"/>
        <w:rPr>
          <w:rFonts w:hint="default" w:ascii="Times New Roman" w:hAnsi="Times New Roman" w:eastAsia="方正小标宋简体" w:cs="Times New Roman"/>
          <w:bCs/>
          <w:sz w:val="52"/>
          <w:szCs w:val="52"/>
          <w:highlight w:val="none"/>
        </w:rPr>
      </w:pPr>
      <w:r>
        <w:rPr>
          <w:rFonts w:hint="default" w:ascii="Times New Roman" w:hAnsi="Times New Roman" w:eastAsia="方正小标宋简体" w:cs="Times New Roman"/>
          <w:bCs/>
          <w:sz w:val="52"/>
          <w:szCs w:val="52"/>
          <w:highlight w:val="none"/>
        </w:rPr>
        <w:t>秦皇岛市自然保护地</w:t>
      </w:r>
    </w:p>
    <w:p w14:paraId="42235488">
      <w:pPr>
        <w:pStyle w:val="16"/>
        <w:snapToGrid w:val="0"/>
        <w:spacing w:before="0" w:after="0" w:line="600" w:lineRule="atLeast"/>
        <w:ind w:firstLine="0" w:firstLineChars="0"/>
        <w:jc w:val="center"/>
        <w:rPr>
          <w:rFonts w:hint="default" w:ascii="Times New Roman" w:hAnsi="Times New Roman" w:eastAsia="方正小标宋简体" w:cs="Times New Roman"/>
          <w:bCs/>
          <w:sz w:val="52"/>
          <w:szCs w:val="52"/>
          <w:highlight w:val="none"/>
        </w:rPr>
      </w:pPr>
      <w:r>
        <w:rPr>
          <w:rFonts w:hint="default" w:ascii="Times New Roman" w:hAnsi="Times New Roman" w:eastAsia="方正小标宋简体" w:cs="Times New Roman"/>
          <w:bCs/>
          <w:sz w:val="52"/>
          <w:szCs w:val="52"/>
          <w:highlight w:val="none"/>
        </w:rPr>
        <w:t>整合优化方案</w:t>
      </w:r>
    </w:p>
    <w:p w14:paraId="66026BA9">
      <w:pPr>
        <w:pStyle w:val="16"/>
        <w:snapToGrid w:val="0"/>
        <w:spacing w:before="0" w:after="0" w:line="600" w:lineRule="atLeast"/>
        <w:ind w:firstLine="0" w:firstLineChars="0"/>
        <w:jc w:val="center"/>
        <w:rPr>
          <w:rFonts w:hint="default" w:ascii="Times New Roman" w:hAnsi="Times New Roman" w:eastAsia="仿宋_GB2312" w:cs="Times New Roman"/>
          <w:b/>
          <w:sz w:val="44"/>
          <w:szCs w:val="44"/>
          <w:highlight w:val="none"/>
        </w:rPr>
      </w:pPr>
    </w:p>
    <w:p w14:paraId="340DB763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439C509F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1BEF3A02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7D0D8416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14CB999E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7891E60E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59531000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3C332F23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77A92CD9">
      <w:pPr>
        <w:spacing w:line="560" w:lineRule="exact"/>
        <w:jc w:val="center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05FD7821">
      <w:pPr>
        <w:spacing w:line="560" w:lineRule="exact"/>
        <w:jc w:val="both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  <w:bookmarkStart w:id="55" w:name="_GoBack"/>
      <w:bookmarkEnd w:id="55"/>
    </w:p>
    <w:p w14:paraId="7B3A6E88">
      <w:pPr>
        <w:spacing w:line="560" w:lineRule="exact"/>
        <w:jc w:val="both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54F7D975">
      <w:pPr>
        <w:spacing w:line="560" w:lineRule="exact"/>
        <w:jc w:val="both"/>
        <w:rPr>
          <w:rFonts w:hint="default" w:ascii="Times New Roman" w:hAnsi="Times New Roman" w:eastAsia="仿宋_GB2312" w:cs="Times New Roman"/>
          <w:sz w:val="44"/>
          <w:szCs w:val="44"/>
          <w:highlight w:val="none"/>
        </w:rPr>
      </w:pPr>
    </w:p>
    <w:p w14:paraId="1204EA9F">
      <w:pPr>
        <w:spacing w:before="240" w:beforeLines="100" w:after="240" w:afterLines="100" w:line="500" w:lineRule="exact"/>
        <w:jc w:val="center"/>
        <w:rPr>
          <w:rFonts w:hint="eastAsia" w:ascii="Times New Roman" w:hAnsi="Times New Roman" w:eastAsia="黑体" w:cs="Times New Roman"/>
          <w:bCs/>
          <w:sz w:val="36"/>
          <w:szCs w:val="36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sz w:val="36"/>
          <w:szCs w:val="36"/>
          <w:highlight w:val="none"/>
        </w:rPr>
        <w:t>秦皇岛</w:t>
      </w:r>
      <w:r>
        <w:rPr>
          <w:rFonts w:hint="eastAsia" w:ascii="Times New Roman" w:hAnsi="Times New Roman" w:eastAsia="黑体" w:cs="Times New Roman"/>
          <w:bCs/>
          <w:sz w:val="36"/>
          <w:szCs w:val="36"/>
          <w:highlight w:val="none"/>
          <w:lang w:val="en-US" w:eastAsia="zh-CN"/>
        </w:rPr>
        <w:t>市林业局</w:t>
      </w:r>
    </w:p>
    <w:p w14:paraId="0B419BDC">
      <w:pPr>
        <w:spacing w:before="240" w:beforeLines="100" w:after="240" w:afterLines="100" w:line="500" w:lineRule="exact"/>
        <w:jc w:val="center"/>
        <w:rPr>
          <w:rFonts w:hint="default" w:ascii="Times New Roman" w:hAnsi="Times New Roman" w:eastAsia="黑体" w:cs="Times New Roman"/>
          <w:bCs/>
          <w:sz w:val="36"/>
          <w:szCs w:val="36"/>
          <w:highlight w:val="none"/>
          <w:lang w:val="en-US" w:eastAsia="zh-CN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10" w:h="16840"/>
          <w:pgMar w:top="2098" w:right="1588" w:bottom="1985" w:left="1588" w:header="0" w:footer="99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linePitch="299" w:charSpace="0"/>
        </w:sectPr>
      </w:pPr>
      <w:r>
        <w:rPr>
          <w:rFonts w:hint="default" w:ascii="Times New Roman" w:hAnsi="Times New Roman" w:eastAsia="仿宋_GB2312" w:cs="Times New Roman"/>
          <w:bCs/>
          <w:sz w:val="36"/>
          <w:szCs w:val="36"/>
          <w:highlight w:val="none"/>
        </w:rPr>
        <w:t>202</w:t>
      </w:r>
      <w:r>
        <w:rPr>
          <w:rFonts w:hint="default" w:ascii="Times New Roman" w:hAnsi="Times New Roman" w:eastAsia="仿宋_GB2312" w:cs="Times New Roman"/>
          <w:bCs/>
          <w:sz w:val="36"/>
          <w:szCs w:val="36"/>
          <w:highlight w:val="none"/>
          <w:lang w:val="en-US" w:eastAsia="zh-CN"/>
        </w:rPr>
        <w:t>5</w:t>
      </w:r>
      <w:r>
        <w:rPr>
          <w:rFonts w:hint="default" w:ascii="Times New Roman" w:hAnsi="Times New Roman" w:eastAsia="黑体" w:cs="Times New Roman"/>
          <w:bCs/>
          <w:sz w:val="36"/>
          <w:szCs w:val="36"/>
          <w:highlight w:val="none"/>
        </w:rPr>
        <w:t>年</w:t>
      </w:r>
      <w:r>
        <w:rPr>
          <w:rFonts w:hint="eastAsia" w:ascii="Times New Roman" w:hAnsi="Times New Roman" w:eastAsia="黑体" w:cs="Times New Roman"/>
          <w:bCs/>
          <w:sz w:val="36"/>
          <w:szCs w:val="36"/>
          <w:highlight w:val="none"/>
          <w:lang w:val="en-US" w:eastAsia="zh-CN"/>
        </w:rPr>
        <w:t>9月</w:t>
      </w:r>
    </w:p>
    <w:sdt>
      <w:sdtP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 w:bidi="ar-SA"/>
        </w:rPr>
        <w:id w:val="147478994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黑体" w:cs="Times New Roman"/>
          <w:b/>
          <w:bCs/>
          <w:sz w:val="24"/>
          <w:szCs w:val="36"/>
          <w:highlight w:val="none"/>
          <w:lang w:val="en-US" w:eastAsia="zh-CN" w:bidi="ar-SA"/>
        </w:rPr>
      </w:sdtEndPr>
      <w:sdtContent>
        <w:p w14:paraId="3A6C5F3F"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</w:pP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目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  <w:lang w:val="en-US" w:eastAsia="zh-CN"/>
            </w:rPr>
            <w:t xml:space="preserve"> </w:t>
          </w:r>
          <w:r>
            <w:rPr>
              <w:rFonts w:hint="eastAsia" w:ascii="黑体" w:hAnsi="黑体" w:eastAsia="黑体" w:cs="黑体"/>
              <w:b w:val="0"/>
              <w:bCs w:val="0"/>
              <w:sz w:val="28"/>
              <w:szCs w:val="28"/>
            </w:rPr>
            <w:t>录</w:t>
          </w:r>
        </w:p>
        <w:p w14:paraId="2F199052">
          <w:pPr>
            <w:pStyle w:val="8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TOC \o "1-2" \h \u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_Toc18396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bCs w:val="0"/>
              <w:kern w:val="44"/>
              <w:sz w:val="28"/>
              <w:szCs w:val="28"/>
              <w:lang w:val="en-US" w:eastAsia="zh-CN" w:bidi="ar-SA"/>
            </w:rPr>
            <w:t>一、</w:t>
          </w:r>
          <w:r>
            <w:rPr>
              <w:rFonts w:hint="default" w:ascii="Times New Roman" w:hAnsi="Times New Roman" w:eastAsia="黑体" w:cs="Times New Roman"/>
              <w:bCs w:val="0"/>
              <w:sz w:val="28"/>
              <w:szCs w:val="28"/>
              <w:highlight w:val="none"/>
              <w:lang w:val="en-US" w:eastAsia="zh-CN"/>
            </w:rPr>
            <w:t>总体要求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_Toc18396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7ED14079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_Toc5271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（一）总体思路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_Toc5271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5894AC52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_Toc30898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（二）整合优化规则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_Toc30898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3D2862D6">
          <w:pPr>
            <w:pStyle w:val="8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_Toc10222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bCs w:val="0"/>
              <w:sz w:val="28"/>
              <w:szCs w:val="28"/>
              <w:highlight w:val="none"/>
              <w:lang w:val="en-US" w:eastAsia="zh-CN"/>
            </w:rPr>
            <w:t>二</w:t>
          </w:r>
          <w:r>
            <w:rPr>
              <w:rFonts w:hint="default" w:ascii="Times New Roman" w:hAnsi="Times New Roman" w:eastAsia="黑体" w:cs="Times New Roman"/>
              <w:bCs w:val="0"/>
              <w:sz w:val="28"/>
              <w:szCs w:val="28"/>
              <w:highlight w:val="none"/>
            </w:rPr>
            <w:t>、</w:t>
          </w:r>
          <w:r>
            <w:rPr>
              <w:rFonts w:hint="default" w:ascii="Times New Roman" w:hAnsi="Times New Roman" w:eastAsia="黑体" w:cs="Times New Roman"/>
              <w:bCs w:val="0"/>
              <w:sz w:val="28"/>
              <w:szCs w:val="28"/>
              <w:highlight w:val="none"/>
              <w:lang w:val="en-US" w:eastAsia="zh-CN"/>
            </w:rPr>
            <w:t>自然保护地现状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_Toc10222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29650BA2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_Toc6212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（一）基本情况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_Toc6212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5270B3B7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_Toc23313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（二）主要问题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_Toc23313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2F35AF55">
          <w:pPr>
            <w:pStyle w:val="8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_Toc28010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bCs w:val="0"/>
              <w:kern w:val="44"/>
              <w:sz w:val="28"/>
              <w:szCs w:val="28"/>
              <w:lang w:val="en-US" w:eastAsia="zh-CN" w:bidi="ar-SA"/>
            </w:rPr>
            <w:t>三、</w:t>
          </w:r>
          <w:r>
            <w:rPr>
              <w:rFonts w:hint="default" w:ascii="Times New Roman" w:hAnsi="Times New Roman" w:eastAsia="黑体" w:cs="Times New Roman"/>
              <w:bCs w:val="0"/>
              <w:sz w:val="28"/>
              <w:szCs w:val="28"/>
              <w:highlight w:val="none"/>
              <w:lang w:val="en-US" w:eastAsia="zh-CN"/>
            </w:rPr>
            <w:t>整合优化结果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_Toc28010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4647EBA5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_Toc9101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（一）分类分级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_Toc9101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2DAA13A8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_Toc331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（二）分区管控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6EC0939E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_Toc20624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（三）整合归并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_Toc20624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39A2BB22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_Toc11890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（四）调入和调出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_Toc11890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3C2C6387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_Toc25128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（五）</w:t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其他情况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_Toc25128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31B109F7">
          <w:pPr>
            <w:pStyle w:val="8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_Toc3490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bCs w:val="0"/>
              <w:kern w:val="44"/>
              <w:sz w:val="28"/>
              <w:szCs w:val="28"/>
              <w:lang w:val="en-US" w:eastAsia="zh-CN" w:bidi="ar-SA"/>
            </w:rPr>
            <w:t>四、实施保障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_Toc3490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70C73D60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_Toc27472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（一）</w:t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健全监管体系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_Toc27472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38A5A0D2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_Toc22053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（二）</w:t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加强生态监测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_Toc22053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47517879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_Toc23932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（三）</w:t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强化执法监督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_Toc23932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6EFC169E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_Toc13733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（四）</w:t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强化社会监督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_Toc13733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5BC318BC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_Toc20878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（五）</w:t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加强正面宣传引导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_Toc20878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71575446">
          <w:pPr>
            <w:pStyle w:val="9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_Toc986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（六）</w:t>
          </w:r>
          <w:r>
            <w:rPr>
              <w:rFonts w:hint="default" w:ascii="黑体" w:hAnsi="黑体" w:eastAsia="黑体" w:cs="黑体"/>
              <w:bCs w:val="0"/>
              <w:sz w:val="28"/>
              <w:szCs w:val="28"/>
              <w:highlight w:val="none"/>
              <w:lang w:val="en-US" w:eastAsia="zh-CN"/>
            </w:rPr>
            <w:t>保障资金投入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_Toc986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1A0C887B">
          <w:pPr>
            <w:pStyle w:val="8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  <w:rPr>
              <w:sz w:val="28"/>
              <w:szCs w:val="28"/>
            </w:rPr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_Toc16720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bCs w:val="0"/>
              <w:kern w:val="44"/>
              <w:sz w:val="28"/>
              <w:szCs w:val="28"/>
              <w:lang w:val="en-US" w:eastAsia="zh-CN" w:bidi="ar-SA"/>
            </w:rPr>
            <w:t>附表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_Toc16720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1BE74C55">
          <w:pPr>
            <w:pStyle w:val="8"/>
            <w:keepNext w:val="0"/>
            <w:keepLines w:val="0"/>
            <w:pageBreakBefore w:val="0"/>
            <w:widowControl/>
            <w:tabs>
              <w:tab w:val="right" w:leader="dot" w:pos="873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both"/>
            <w:textAlignment w:val="auto"/>
          </w:pP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instrText xml:space="preserve"> HYPERLINK \l _Toc6285 </w:instrText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bCs w:val="0"/>
              <w:kern w:val="44"/>
              <w:sz w:val="28"/>
              <w:szCs w:val="28"/>
              <w:lang w:val="en-US" w:eastAsia="zh-CN" w:bidi="ar-SA"/>
            </w:rPr>
            <w:t>附</w:t>
          </w:r>
          <w:r>
            <w:rPr>
              <w:rFonts w:hint="eastAsia" w:ascii="Times New Roman" w:hAnsi="Times New Roman" w:eastAsia="黑体" w:cs="Times New Roman"/>
              <w:bCs w:val="0"/>
              <w:kern w:val="44"/>
              <w:sz w:val="28"/>
              <w:szCs w:val="28"/>
              <w:lang w:val="en-US" w:eastAsia="zh-CN" w:bidi="ar-SA"/>
            </w:rPr>
            <w:t>图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_Toc6285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eastAsia="黑体" w:cs="Times New Roman"/>
              <w:bCs/>
              <w:sz w:val="28"/>
              <w:szCs w:val="28"/>
              <w:highlight w:val="none"/>
            </w:rPr>
            <w:fldChar w:fldCharType="end"/>
          </w:r>
        </w:p>
        <w:p w14:paraId="5A67ED3A"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240" w:beforeLines="100" w:after="240" w:afterLines="100" w:line="360" w:lineRule="auto"/>
            <w:ind w:left="0" w:leftChars="0"/>
            <w:jc w:val="both"/>
            <w:textAlignment w:val="auto"/>
            <w:rPr>
              <w:rFonts w:hint="default" w:ascii="Times New Roman" w:hAnsi="Times New Roman" w:eastAsia="黑体" w:cs="Times New Roman"/>
              <w:bCs/>
              <w:sz w:val="36"/>
              <w:szCs w:val="36"/>
              <w:highlight w:val="none"/>
            </w:rPr>
            <w:sectPr>
              <w:headerReference r:id="rId7" w:type="default"/>
              <w:footerReference r:id="rId8" w:type="default"/>
              <w:pgSz w:w="11910" w:h="16840"/>
              <w:pgMar w:top="2098" w:right="1588" w:bottom="1985" w:left="1588" w:header="0" w:footer="998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decimal" w:start="1"/>
              <w:cols w:space="720" w:num="1"/>
              <w:docGrid w:linePitch="299" w:charSpace="0"/>
            </w:sectPr>
          </w:pPr>
          <w:r>
            <w:rPr>
              <w:rFonts w:hint="default" w:ascii="Times New Roman" w:hAnsi="Times New Roman" w:eastAsia="黑体" w:cs="Times New Roman"/>
              <w:bCs/>
              <w:szCs w:val="28"/>
              <w:highlight w:val="none"/>
            </w:rPr>
            <w:fldChar w:fldCharType="end"/>
          </w:r>
        </w:p>
      </w:sdtContent>
    </w:sdt>
    <w:p w14:paraId="2D94D3A6">
      <w:pPr>
        <w:pStyle w:val="2"/>
        <w:numPr>
          <w:ilvl w:val="0"/>
          <w:numId w:val="0"/>
        </w:numPr>
        <w:adjustRightInd w:val="0"/>
        <w:snapToGrid w:val="0"/>
        <w:spacing w:before="0" w:after="0" w:line="60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bookmarkStart w:id="0" w:name="_Toc18396"/>
      <w:r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总体要求</w:t>
      </w:r>
      <w:bookmarkEnd w:id="0"/>
    </w:p>
    <w:p w14:paraId="083E282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1" w:name="_Toc5271"/>
      <w:bookmarkStart w:id="2" w:name="_Toc18418"/>
      <w:bookmarkStart w:id="3" w:name="_Toc10982"/>
      <w:r>
        <w:rPr>
          <w:rFonts w:hint="eastAsia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（一）总体思路</w:t>
      </w:r>
      <w:bookmarkEnd w:id="1"/>
      <w:bookmarkEnd w:id="2"/>
      <w:bookmarkEnd w:id="3"/>
    </w:p>
    <w:p w14:paraId="697BE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贯彻习近平生态文明思想，坚持问题导向、先定规则、逐步调整、反复完善。重点解决自然保护地交叉重叠、保护空缺、现实矛盾冲突和历史遗留问题。科学合理界定自然保护地范围，优化功能分区，细化管控措施。确保重要生态系统、自然遗迹、自然景观和生物多样性得到有效保护。有效衔接生态保护红线、永久基本农田、城镇开发边界划定。</w:t>
      </w:r>
    </w:p>
    <w:p w14:paraId="64AD157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4" w:name="_Toc25411"/>
      <w:bookmarkStart w:id="5" w:name="_Toc10974"/>
      <w:bookmarkStart w:id="6" w:name="_Toc30898"/>
      <w:r>
        <w:rPr>
          <w:rFonts w:hint="eastAsia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（二）整合优化规则</w:t>
      </w:r>
      <w:bookmarkEnd w:id="4"/>
      <w:bookmarkEnd w:id="5"/>
      <w:bookmarkEnd w:id="6"/>
    </w:p>
    <w:p w14:paraId="4B86E881">
      <w:pPr>
        <w:widowControl w:val="0"/>
        <w:adjustRightInd w:val="0"/>
        <w:snapToGrid w:val="0"/>
        <w:spacing w:line="560" w:lineRule="exact"/>
        <w:ind w:firstLine="56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贯彻落实中办国办《关于建立以国家公园为主体的自然保护地体系的指导意见》《关于在国土空间规划中统筹划定落实三条控制线的指导意见》精神，依据自然资源部、生态环境部、国家林草局《关于做好自然保护区范围及功能分区优化调整前期有关工作的函》《关于自然保护地整合优化有关事项的通知》《关于生态保护红线自然保护地内矿业权差别化管理的通知》《关于生态保护红线划定中有关空间矛盾冲突处理规则的补充通知》《关于在全国开展“三区三线”划定工作的函》《关于加强生态保护红线管理的通知》《关于做好风景名胜区整合优化预案编制工作的函》《自然保护地进一步整合优化规则》等文件，确定整合优化规则如下。</w:t>
      </w:r>
    </w:p>
    <w:p w14:paraId="496FCB78">
      <w:pPr>
        <w:pStyle w:val="4"/>
        <w:keepNext w:val="0"/>
        <w:keepLines w:val="0"/>
        <w:widowControl w:val="0"/>
        <w:numPr>
          <w:ilvl w:val="0"/>
          <w:numId w:val="0"/>
        </w:numPr>
        <w:adjustRightInd w:val="0"/>
        <w:snapToGrid w:val="0"/>
        <w:spacing w:before="0" w:after="0" w:line="600" w:lineRule="exact"/>
        <w:ind w:firstLine="562" w:firstLineChars="200"/>
        <w:jc w:val="both"/>
        <w:outlineLvl w:val="2"/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  <w:t>分类分级规则</w:t>
      </w:r>
    </w:p>
    <w:p w14:paraId="1657BE69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（1）分类规则</w:t>
      </w:r>
    </w:p>
    <w:p w14:paraId="703480EF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以生态功能和生物多样性评估为基础，依据所在区域的自然属性、生态价值和管理目标，对现有各类自然保护地进行梳理归类，将整合优化后的自然保护地分为国家公园、自然保护区、自然公园三大类。</w:t>
      </w:r>
    </w:p>
    <w:p w14:paraId="11DB5975">
      <w:pPr>
        <w:widowControl w:val="0"/>
        <w:adjustRightInd w:val="0"/>
        <w:snapToGrid w:val="0"/>
        <w:spacing w:line="600" w:lineRule="exact"/>
        <w:ind w:firstLine="562" w:firstLineChars="200"/>
        <w:jc w:val="both"/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/>
        </w:rPr>
        <w:sectPr>
          <w:footerReference r:id="rId9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docGrid w:type="lines" w:linePitch="312" w:charSpace="0"/>
        </w:sectPr>
      </w:pPr>
    </w:p>
    <w:p w14:paraId="48938140">
      <w:pPr>
        <w:widowControl w:val="0"/>
        <w:adjustRightInd w:val="0"/>
        <w:snapToGrid w:val="0"/>
        <w:spacing w:line="600" w:lineRule="exact"/>
        <w:ind w:firstLine="562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/>
        </w:rPr>
        <w:t>国家公园：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以国家公园体制试点方案为基本遵循，坚持山水林田湖草生命共同体理念，按照自然生态系统整体性、系统性及其内在规律，对相关自然保护地进行功能重组，将10个具有国家代表性生态系统的区域划为国家公园。</w:t>
      </w:r>
    </w:p>
    <w:p w14:paraId="22B4A19B">
      <w:pPr>
        <w:widowControl w:val="0"/>
        <w:adjustRightInd w:val="0"/>
        <w:snapToGrid w:val="0"/>
        <w:spacing w:line="600" w:lineRule="exact"/>
        <w:ind w:firstLine="562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/>
        </w:rPr>
        <w:t>自然保护区：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将典型自然生态系统、珍稀濒危野生动植物种天然集中分布区、有特殊意义的自然遗迹划为自然保护区。现有自然保护区原则上继续保留，无明确保护对象、无重要保护价值的省级、市县级自然保护区经评估后可转为自然公园，或予以撤销。</w:t>
      </w:r>
    </w:p>
    <w:p w14:paraId="0DA286D4">
      <w:pPr>
        <w:widowControl w:val="0"/>
        <w:adjustRightInd w:val="0"/>
        <w:snapToGrid w:val="0"/>
        <w:spacing w:line="600" w:lineRule="exact"/>
        <w:ind w:firstLine="562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/>
        </w:rPr>
        <w:t>自然公园：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将具有生态、观赏、文化、科学等价值的重要自然区域划为自然公园。除自然保护区外，现有其他自然保护地依据主体生态系统、自然遗迹、自然景观所属类型，分为风景名胜区、森林公园、地质公园、湿地公园、海洋公园、沙漠公园，经评估后也可转为地方级自然保护区或予以撤销。现有海洋特别保护区经评估后转为自然保护区，或按海洋公园保留，今后不再设立海洋特别保护区。</w:t>
      </w:r>
    </w:p>
    <w:p w14:paraId="7D458031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（2）分级规则</w:t>
      </w:r>
    </w:p>
    <w:p w14:paraId="11583FC7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将现有国家级、省级、市（州）级、县级等各级自然保护地，按照生态系统重要程度和事权划分原则，实行分级设立、分级管理，分为国家级和地方级。国家公园、国家级自然保护区、国家级风景名胜区由国务院批准设立、调整、撤销，其他国家级自然公园由国家林草局批准设立、调整、撤销；地方级自然保护地由省级政府批准设立、调整、撤销，管理主体由省级政府确定。探索公益治理、社区治理、共同治理等保护方式。</w:t>
      </w:r>
    </w:p>
    <w:p w14:paraId="72B6FDD2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现有国家级自然公园，经评估可以转为地方级自然保护地。现有省级、市级、县级自然保护地原则上统一改称为地方级自然保护地；经评估不具备保护价值的，可以撤销。</w:t>
      </w:r>
    </w:p>
    <w:p w14:paraId="433CC354">
      <w:pPr>
        <w:pStyle w:val="4"/>
        <w:keepNext w:val="0"/>
        <w:keepLines w:val="0"/>
        <w:widowControl w:val="0"/>
        <w:numPr>
          <w:ilvl w:val="0"/>
          <w:numId w:val="0"/>
        </w:numPr>
        <w:adjustRightInd w:val="0"/>
        <w:snapToGrid w:val="0"/>
        <w:spacing w:before="0" w:after="0" w:line="600" w:lineRule="exact"/>
        <w:ind w:left="0" w:leftChars="0" w:firstLine="562" w:firstLineChars="200"/>
        <w:jc w:val="both"/>
        <w:outlineLvl w:val="2"/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  <w:t>2.整合归并规则</w:t>
      </w:r>
    </w:p>
    <w:p w14:paraId="02B376C9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以保持生态系统多样性、系统性、持续性为原则，遵从保护面积不减少、保护强度不降低、保护性质不改变的要求，按照同级别保护强度优先、不同级别低级别服从高级别的原则，对交叉重叠、相邻相连的自然保护地进行整合，或结合资源禀赋、发展目标、管理基础等实际情况，进行合理拆分，做到一个区域只有一个自然保护地、一套机构、一块牌子。</w:t>
      </w:r>
    </w:p>
    <w:p w14:paraId="131B00E6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（1）国家公园</w:t>
      </w:r>
    </w:p>
    <w:p w14:paraId="379B33BD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国家公园试点区内现有自然保护地纳入国家公园管理。现有自然保护地整体位于国家公园试点区范围内的，原有自然保护地不再保留。现有自然保护地部分纳入国家公园试点范围的，试点范围内的区域并入国家公园管理；试点范围外的区域经评估后，可以保留、撤销，或转为其他类型自然保护地，也可并入相邻的自然保护地。</w:t>
      </w:r>
    </w:p>
    <w:p w14:paraId="1FE91466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（2）自然保护区</w:t>
      </w:r>
    </w:p>
    <w:p w14:paraId="7869B0AA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国家级自然保护区与国家级风景名胜区交叉重叠的，经评估后可以进行合理拆分、各自保留；与其他自然保护地交叉重叠的，优先保留国家级自然保护区。省级自然保护区与省级及以下其他自然保护地重叠的，优先保留省级自然保护区。</w:t>
      </w:r>
    </w:p>
    <w:p w14:paraId="19E9C4B0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（3）自然公园</w:t>
      </w:r>
    </w:p>
    <w:p w14:paraId="0BB8BC79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风景名胜区、森林公园、地质公园、湿地公园、沙漠公园相互交叉重叠的，原则上由设立审批层级高的整合低级别的，特殊情况下可根据实际情况整合归并或进行合理拆分。考虑到风景名胜区的特殊性，其生态功能极重要、生态环境极脆弱的区域划入生态保护红线，其他人文设施密集或开发利用强度大的区域不划入生态保护红线，按《风景名胜区条例》进行管理。</w:t>
      </w:r>
    </w:p>
    <w:p w14:paraId="36497C19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水产种质资源保护区与国家公园、自然保护区交叉重叠的，整合到国家公园、自然保护区；与自然公园交叉重叠的，经科学评估具有重要保护价值的，整合到相应的自然公园。整合优化后，水产种质资源保护区不纳入自然保护地体系，继续按《渔业法》及有关规定进行管理。</w:t>
      </w:r>
    </w:p>
    <w:p w14:paraId="478E453A">
      <w:pPr>
        <w:pStyle w:val="4"/>
        <w:keepNext w:val="0"/>
        <w:keepLines w:val="0"/>
        <w:widowControl w:val="0"/>
        <w:numPr>
          <w:ilvl w:val="0"/>
          <w:numId w:val="0"/>
        </w:numPr>
        <w:adjustRightInd w:val="0"/>
        <w:snapToGrid w:val="0"/>
        <w:spacing w:before="0" w:after="0" w:line="600" w:lineRule="exact"/>
        <w:ind w:leftChars="200"/>
        <w:jc w:val="both"/>
        <w:outlineLvl w:val="2"/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  <w:t>3.分区优化规则</w:t>
      </w:r>
    </w:p>
    <w:p w14:paraId="6F38D173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基于功能定位，按照各区域的生态价值、原真性、人类活动强度，对自然保护地合理分区，实行差别化管理。国家公园和自然保护区由核心保护区、一般控制区组成，原则上核心保护区禁止人为活动，一般控制区限制人为活动。自然公园按一般控制区管理。总结自然保护地发展经验教训，对标国家公园试点成果和生态保护红线要求，统筹制定自然保护地分区管控规定。</w:t>
      </w:r>
    </w:p>
    <w:p w14:paraId="2613FC28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原则上，将现有自然保护区的核心区、缓冲区转为核心保护区，实验区转为一般控制区。自然保护区核心区、缓冲区内的合法水利水电等设施、历史文化名村、少数民族特色村寨和重要人文景观合法建筑，包括有历史文化价值的遗址遗迹、寺庙、名人故居、纪念馆等，调整为一般控制区。自然保护区实验区内无人为活动且具有重要保护价值的区域，特别是国家和省级重点保护野生动植物的关键分布区域、生态廊道的重要节点、重要自然遗迹等，调整为核心保护区。</w:t>
      </w:r>
    </w:p>
    <w:p w14:paraId="0736012F">
      <w:pPr>
        <w:pStyle w:val="4"/>
        <w:keepNext w:val="0"/>
        <w:keepLines w:val="0"/>
        <w:widowControl w:val="0"/>
        <w:numPr>
          <w:ilvl w:val="0"/>
          <w:numId w:val="0"/>
        </w:numPr>
        <w:adjustRightInd w:val="0"/>
        <w:snapToGrid w:val="0"/>
        <w:spacing w:before="0" w:after="0" w:line="600" w:lineRule="exact"/>
        <w:ind w:leftChars="200"/>
        <w:jc w:val="both"/>
        <w:outlineLvl w:val="2"/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  <w:t>4.调入规则</w:t>
      </w:r>
    </w:p>
    <w:p w14:paraId="360C5E19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坚持生态优先、应划尽划，以自然保护空缺分析结果为指引，结合国土三调最新成果，全域分析森林、湿地、荒漠、海洋、冰川和永久积雪、地质遗迹等资源分布，将现有自然保护地周边生态保护价值高、生物多样性富集或具有潜在重要生态价值的区域划入自然保护地，提升自然保护地空间完整性和生态廊道连通性。</w:t>
      </w:r>
    </w:p>
    <w:p w14:paraId="0A7716DE">
      <w:pPr>
        <w:pStyle w:val="4"/>
        <w:keepNext w:val="0"/>
        <w:keepLines w:val="0"/>
        <w:widowControl w:val="0"/>
        <w:numPr>
          <w:ilvl w:val="0"/>
          <w:numId w:val="0"/>
        </w:numPr>
        <w:adjustRightInd w:val="0"/>
        <w:snapToGrid w:val="0"/>
        <w:spacing w:before="0" w:after="0" w:line="600" w:lineRule="exact"/>
        <w:ind w:leftChars="200"/>
        <w:jc w:val="both"/>
        <w:outlineLvl w:val="2"/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  <w:t>5.矛盾冲突处理规则</w:t>
      </w:r>
    </w:p>
    <w:p w14:paraId="387D0BB5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坚持底线思维，优先保障粮食安全、生态安全，兼顾能源资源需求，在科学评估的基础上，本着尊重历史、实事求是、相对合理的原则，妥善处理各类矛盾冲突。对标生态保护红线划定和国土空间治理要求，将不符合管控要求的矛盾冲突空间调出自然保护地范围，同时修订完善自然保护地法律法规，允许适度开展一些对生态环境不造成明显影响的人类活动，实现人与自然和谐共生。</w:t>
      </w:r>
    </w:p>
    <w:p w14:paraId="39B536C0">
      <w:pPr>
        <w:pStyle w:val="2"/>
        <w:adjustRightInd w:val="0"/>
        <w:snapToGrid w:val="0"/>
        <w:spacing w:before="0" w:after="0" w:line="60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bookmarkStart w:id="7" w:name="_Toc10222"/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二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</w:rPr>
        <w:t>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自然保护地现状</w:t>
      </w:r>
      <w:bookmarkEnd w:id="7"/>
    </w:p>
    <w:p w14:paraId="1EA3B8F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8" w:name="_Toc6212"/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（一）基本情况</w:t>
      </w:r>
      <w:bookmarkEnd w:id="8"/>
    </w:p>
    <w:p w14:paraId="0D8602BE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根据《河北省自然保护地名录》，截至2019年底，全市现有自然保护区、风景名胜区、森林公园、湿地公园、地质公园、海洋公园等各类自然保护地，共17个。</w:t>
      </w:r>
    </w:p>
    <w:p w14:paraId="5E00334F">
      <w:pPr>
        <w:pStyle w:val="4"/>
        <w:keepNext w:val="0"/>
        <w:keepLines w:val="0"/>
        <w:widowControl w:val="0"/>
        <w:numPr>
          <w:ilvl w:val="0"/>
          <w:numId w:val="0"/>
        </w:numPr>
        <w:adjustRightInd w:val="0"/>
        <w:snapToGrid w:val="0"/>
        <w:spacing w:before="0" w:after="0" w:line="600" w:lineRule="exact"/>
        <w:ind w:firstLine="562" w:firstLineChars="200"/>
        <w:jc w:val="both"/>
        <w:outlineLvl w:val="2"/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</w:pPr>
      <w:bookmarkStart w:id="9" w:name="_Toc131163700"/>
      <w:r>
        <w:rPr>
          <w:rFonts w:hint="default" w:ascii="Times New Roman" w:hAnsi="Times New Roman" w:eastAsia="仿宋_GB2312" w:cs="Times New Roman"/>
          <w:b/>
          <w:bCs/>
          <w:kern w:val="2"/>
          <w:sz w:val="28"/>
          <w:szCs w:val="28"/>
          <w:lang w:val="en-US" w:eastAsia="zh-CN" w:bidi="ar-SA"/>
        </w:rPr>
        <w:t>1.</w:t>
      </w: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  <w:t>自然保护地面积</w:t>
      </w:r>
      <w:bookmarkEnd w:id="9"/>
    </w:p>
    <w:p w14:paraId="6775E100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10" w:name="_Toc131163701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（1）批复面积</w:t>
      </w:r>
      <w:bookmarkEnd w:id="10"/>
    </w:p>
    <w:p w14:paraId="723AFC1E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以1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个自然保护地申报和批复文件为依据进行统计，自然保护地总面积146068.18公顷。</w:t>
      </w:r>
    </w:p>
    <w:p w14:paraId="2936E827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11" w:name="_Toc131163702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（2）矢量面积</w:t>
      </w:r>
      <w:bookmarkEnd w:id="11"/>
    </w:p>
    <w:p w14:paraId="41E1C95E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对所有自然保护地边界和功能分区进行矢量落图，确定矢量总面积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146007.17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公顷。</w:t>
      </w:r>
    </w:p>
    <w:p w14:paraId="3EEC3CC1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12" w:name="_Toc131163703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（3）净占地面积</w:t>
      </w:r>
      <w:bookmarkEnd w:id="12"/>
    </w:p>
    <w:p w14:paraId="319060C3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剔除交叉重叠因素，对不同保护地之间重叠区域面积只作一次统计，全市自然保护地实际净占地总面积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1017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88.15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公顷。</w:t>
      </w:r>
    </w:p>
    <w:p w14:paraId="24439825">
      <w:pPr>
        <w:pStyle w:val="4"/>
        <w:keepNext w:val="0"/>
        <w:keepLines w:val="0"/>
        <w:widowControl w:val="0"/>
        <w:numPr>
          <w:ilvl w:val="0"/>
          <w:numId w:val="0"/>
        </w:numPr>
        <w:adjustRightInd w:val="0"/>
        <w:snapToGrid w:val="0"/>
        <w:spacing w:before="0" w:after="0" w:line="600" w:lineRule="exact"/>
        <w:ind w:left="0" w:leftChars="0" w:firstLine="562" w:firstLineChars="200"/>
        <w:jc w:val="both"/>
        <w:outlineLvl w:val="2"/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</w:pPr>
      <w:bookmarkStart w:id="13" w:name="_Toc131163704"/>
      <w:r>
        <w:rPr>
          <w:rFonts w:hint="default" w:ascii="Times New Roman" w:hAnsi="Times New Roman" w:eastAsia="仿宋_GB2312" w:cs="Times New Roman"/>
          <w:b/>
          <w:bCs/>
          <w:kern w:val="2"/>
          <w:sz w:val="28"/>
          <w:szCs w:val="28"/>
          <w:lang w:val="en-US" w:eastAsia="zh-CN" w:bidi="ar-SA"/>
        </w:rPr>
        <w:t>2.</w:t>
      </w: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 w:bidi="ar-SA"/>
        </w:rPr>
        <w:t>分类概述</w:t>
      </w:r>
      <w:bookmarkEnd w:id="13"/>
    </w:p>
    <w:p w14:paraId="5C15B2CC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按矢量面积计，各类自然保护地具体情况如下：</w:t>
      </w:r>
    </w:p>
    <w:p w14:paraId="0E4AA030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14" w:name="_Toc131163705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（1）自然保护区</w:t>
      </w:r>
      <w:bookmarkEnd w:id="14"/>
    </w:p>
    <w:p w14:paraId="6C4EB77A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全市共有自然保护区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个，总面积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48098.88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公顷。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核心区总面积17153.89公顷，缓冲区总面积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19674.72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公顷，实验区总面积11270.2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公顷。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其中：</w:t>
      </w:r>
    </w:p>
    <w:p w14:paraId="3E137B71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yellow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国家级自然保护区2个，河北柳江盆地地质遗迹国家级自然保护区总面积1422.3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公顷，核心区总面积486.3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公顷，缓冲区总面积526.6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公顷，实验区总面积409.3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公顷，由河北柳江盆地地质遗迹国家级自然保护区管理中心管理；河北昌黎黄金海岸国家级自然保护区总面积33567.62公顷，核心区总面积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ab/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11710.4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公顷，缓冲区总面积16661.1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公顷，实验区总面积5196.0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公顷，由河北昌黎黄金海岸国家级自然保护区管理中心管理。</w:t>
      </w:r>
    </w:p>
    <w:p w14:paraId="319419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bookmarkStart w:id="15" w:name="_Toc20139"/>
      <w:bookmarkStart w:id="16" w:name="_Toc16663"/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省级自然保护区1个</w:t>
      </w:r>
      <w:bookmarkEnd w:id="15"/>
      <w:bookmarkEnd w:id="16"/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（河北青龙都山省级自然保护区），总面积4702.96公顷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核心区总面积1631.54公顷，缓冲区总面积1129.66公顷，实验区总面积1941.76公顷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（秦皇岛市域范围内4691.94公顷，承德市域范围内11.02公顷）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由河北青龙都山自然保护区管理处管理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。</w:t>
      </w:r>
    </w:p>
    <w:p w14:paraId="12AF1A41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市级自然保护区1个（秦皇岛老岭市级自然保护区），总面积8405.98公顷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核心区总面积3325.6公顷，缓冲区总面积1357.2公顷，实验区总面积3723.18公顷，由青龙满族自治县祖山林场管理管理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eastAsia="zh-CN"/>
        </w:rPr>
        <w:t>。</w:t>
      </w:r>
    </w:p>
    <w:p w14:paraId="41818407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17" w:name="_Toc131163706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（2）风景名胜区</w:t>
      </w:r>
      <w:bookmarkEnd w:id="17"/>
    </w:p>
    <w:p w14:paraId="6CB363AE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bookmarkStart w:id="18" w:name="_Toc131163707"/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全市共有风景名胜区2个，总面积39362.40公顷（秦皇岛市域范围内38249.36公顷，葫芦岛市域范围内374.59公顷，唐山市域范围内738.45公顷）。其中：</w:t>
      </w:r>
    </w:p>
    <w:p w14:paraId="71C4D8F1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国家级风景名胜区1个（秦皇岛北戴河风景名胜区），总面积36031.24公顷（秦皇岛市域范围内34918.20公顷，葫芦岛市域范围内374.59公顷，唐山市域范围内738.45公顷），由秦皇岛市林业局自然保护管理科代为管理。</w:t>
      </w:r>
    </w:p>
    <w:p w14:paraId="27308AB5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市级风景名胜区1个（板厂峪风景名胜区），总面积3331.16公顷。</w:t>
      </w:r>
    </w:p>
    <w:p w14:paraId="51B0C75A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（3）森林公园</w:t>
      </w:r>
      <w:bookmarkEnd w:id="18"/>
    </w:p>
    <w:p w14:paraId="2F4A6875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全市共有森林公园6个，总面积28682.2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公顷。其中：</w:t>
      </w:r>
    </w:p>
    <w:p w14:paraId="600672A4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国家级森林公园2个（海滨国家森林公园、山海关国家森林公园），海滨国家森林公园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面积1051.87公顷，由秦皇岛市海滨林场管理；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山海关国家森林公园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面积5022.43公顷，由山海关国家森林公园管理处管理。</w:t>
      </w:r>
    </w:p>
    <w:p w14:paraId="4808F9BC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地方级森林公园4个（黄金海岸森林公园、渤海森林公园、老岭森林公园、河北南山省级森林公园）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黄金海岸森林公园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面积13015.13公顷，由北戴河新区林业园林局管理；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渤海森林公园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面积2339.57公顷，由北戴河新区林业园林局、平市庄林场管理；老岭森林公园面积6573.60公顷，由青龙满族自治县祖山林场管理；河北南山省级森林公园面积679.67公顷，由青龙满族自治县南山森林公园保服务中心管理。</w:t>
      </w:r>
    </w:p>
    <w:p w14:paraId="69E34F7F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19" w:name="_Toc131163708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（4）地质公园</w:t>
      </w:r>
      <w:bookmarkEnd w:id="19"/>
    </w:p>
    <w:p w14:paraId="7CE6F66F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全市共有国家级地质公园1个（河北秦皇岛柳江国家地质公园），总面积10139.30公顷。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秦皇岛市林业局自然保护管理科代为管理。</w:t>
      </w:r>
    </w:p>
    <w:p w14:paraId="3FB3D263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20" w:name="_Toc131163709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（5）湿地公园</w:t>
      </w:r>
      <w:bookmarkEnd w:id="20"/>
    </w:p>
    <w:p w14:paraId="172D4794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全市共有国家级湿地公园3个（河北北戴河国家湿地公园、河北卢龙一渠百库国家湿地公园、河北青龙湖国家湿地公园），总面积9508.36公顷。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其中：</w:t>
      </w:r>
    </w:p>
    <w:p w14:paraId="5A1DF4C5">
      <w:pPr>
        <w:pStyle w:val="10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河北北戴河国家湿地公园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总面积299.64公顷，由河北北戴河国家湿地公园管理处管理；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河北青龙湖国家湿地公园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总面积8393.84公顷，由青龙湖国家湿地保护工作中心管理；河北卢龙一渠百库国家湿地公园总面积814.88公顷，由河北卢龙一渠百库国家湿地公园服务中心管理。</w:t>
      </w:r>
    </w:p>
    <w:p w14:paraId="798D0D29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21" w:name="_Toc131163710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（6）海洋公园</w:t>
      </w:r>
      <w:bookmarkEnd w:id="21"/>
    </w:p>
    <w:p w14:paraId="53EBF518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yellow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全市共有国家级海洋公园1个（北戴河国家级海洋公园），总面积10215.97公顷。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由北戴河区园林局代为管理。</w:t>
      </w:r>
    </w:p>
    <w:p w14:paraId="1562C6E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22" w:name="_Toc23313"/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（二）主要问题</w:t>
      </w:r>
      <w:bookmarkEnd w:id="22"/>
    </w:p>
    <w:p w14:paraId="380AC4C4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23" w:name="_Toc131163696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1.边界范围底数不清</w:t>
      </w:r>
      <w:bookmarkEnd w:id="23"/>
    </w:p>
    <w:p w14:paraId="2F084A83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各级各类自然保护地，设立的历史条件不等，部分自然保护地存在建设管理投入不足、基础设施设备落后、保护管理水平不高、执法监督能力不够等问题。很多自然保护地边界范围底数不清，自设立以来甚至从未勘定边界、真正落地。</w:t>
      </w:r>
    </w:p>
    <w:p w14:paraId="11481D4F">
      <w:pPr>
        <w:pStyle w:val="4"/>
        <w:keepNext w:val="0"/>
        <w:keepLines w:val="0"/>
        <w:numPr>
          <w:ilvl w:val="0"/>
          <w:numId w:val="0"/>
        </w:numPr>
        <w:adjustRightInd w:val="0"/>
        <w:snapToGrid w:val="0"/>
        <w:spacing w:before="0" w:after="0" w:line="600" w:lineRule="exact"/>
        <w:ind w:left="0" w:leftChars="0"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24" w:name="_Toc131163697"/>
      <w:r>
        <w:rPr>
          <w:rFonts w:hint="eastAsia" w:ascii="Times New Roman" w:hAnsi="Times New Roman" w:eastAsia="仿宋_GB2312" w:cs="Times New Roman"/>
          <w:b/>
          <w:bCs/>
          <w:kern w:val="0"/>
          <w:sz w:val="28"/>
          <w:szCs w:val="28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lang w:val="en-US" w:eastAsia="zh-CN" w:bidi="ar-SA"/>
        </w:rPr>
        <w:t>.</w:t>
      </w:r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区域交叉空间重叠</w:t>
      </w:r>
      <w:bookmarkEnd w:id="24"/>
    </w:p>
    <w:p w14:paraId="3F38FBDE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自然保护地重叠设置、多头管理现象普遍，权责不清，严重影响管理效能。在同一区域设立了不同层级、隶属不同行业管理的多个管理机构，造成管理机构和权限交叉重叠、一地多牌、政出多门等问题。经空间套合分析，我市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17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个自然保护地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全部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涉及空间重叠问题。</w:t>
      </w:r>
    </w:p>
    <w:p w14:paraId="5F81DD59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25" w:name="_Toc131163698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3.矛盾冲突点多面广</w:t>
      </w:r>
      <w:bookmarkEnd w:id="25"/>
    </w:p>
    <w:p w14:paraId="4D4148A8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自然保护地在有效保护自然资源、生态系统和生物多样性等方面发挥了主体作用，但也积累了很多历史遗留问题，存在大量城镇、村庄、耕地、矿业权、人工商品林等空间矛盾冲突，城乡发展、基础设施建设、工农业生产、居民生活与保护管理矛盾冲突尖锐，严重影响依法科学高效保护管理，制约经济社会发展。</w:t>
      </w:r>
    </w:p>
    <w:p w14:paraId="78D582B2">
      <w:pPr>
        <w:pStyle w:val="4"/>
        <w:keepNext w:val="0"/>
        <w:keepLines w:val="0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</w:pPr>
      <w:bookmarkStart w:id="26" w:name="_Toc131163699"/>
      <w:r>
        <w:rPr>
          <w:rFonts w:hint="default" w:ascii="Times New Roman" w:hAnsi="Times New Roman" w:eastAsia="仿宋_GB2312" w:cs="Times New Roman"/>
          <w:b/>
          <w:bCs/>
          <w:kern w:val="0"/>
          <w:sz w:val="28"/>
          <w:szCs w:val="28"/>
          <w:highlight w:val="none"/>
          <w:lang w:val="en-US" w:eastAsia="zh-CN" w:bidi="ar-SA"/>
        </w:rPr>
        <w:t>4.空间布局不尽合理</w:t>
      </w:r>
      <w:bookmarkEnd w:id="26"/>
    </w:p>
    <w:p w14:paraId="141CE205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各类自然保护地审批分属不同部门，由各级政府、不同部门于不同时间批准建立，设立时间早、管理不完善、历史因素多，导致同一区域交叉重叠面积较大。部分保护地无管理机构，资料不完善、无矢量图，仅有简单的四至边界，重新勘测出现大量数据与批建面积不符。我市保护地种类多，面积广，已基本做到应划尽划、应保尽保。</w:t>
      </w:r>
    </w:p>
    <w:p w14:paraId="4F54D321">
      <w:pPr>
        <w:pStyle w:val="2"/>
        <w:numPr>
          <w:ilvl w:val="0"/>
          <w:numId w:val="0"/>
        </w:numPr>
        <w:adjustRightInd w:val="0"/>
        <w:snapToGrid w:val="0"/>
        <w:spacing w:before="0" w:after="0" w:line="600" w:lineRule="exact"/>
        <w:ind w:left="0" w:leftChars="0" w:firstLine="0" w:firstLineChars="0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bookmarkStart w:id="27" w:name="_Toc28010"/>
      <w:r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  <w:t>三、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整合优化结果</w:t>
      </w:r>
      <w:bookmarkEnd w:id="27"/>
    </w:p>
    <w:p w14:paraId="542E721D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color w:val="FF0000"/>
          <w:sz w:val="28"/>
          <w:szCs w:val="28"/>
          <w:highlight w:val="none"/>
        </w:rPr>
      </w:pP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整合优化后，全</w:t>
      </w:r>
      <w:bookmarkStart w:id="28" w:name="_Hlk99868007"/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市共有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个自然保护地，总面积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92327.9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2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公顷，</w:t>
      </w:r>
      <w:r>
        <w:rPr>
          <w:rFonts w:hint="default" w:ascii="Times New Roman" w:hAnsi="Times New Roman" w:eastAsia="仿宋_GB2312" w:cs="Times New Roman"/>
          <w:kern w:val="2"/>
          <w:sz w:val="28"/>
          <w:szCs w:val="28"/>
          <w:highlight w:val="none"/>
          <w:lang w:bidi="ar-SA"/>
        </w:rPr>
        <w:t>其</w:t>
      </w: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bidi="ar-SA"/>
        </w:rPr>
        <w:t>中：陆域面积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54035.88</w:t>
      </w: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bidi="ar-SA"/>
        </w:rPr>
        <w:t>公顷（秦皇岛市域范围内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53297.29</w:t>
      </w: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bidi="ar-SA"/>
        </w:rPr>
        <w:t>公顷，葫芦岛市域范围内0.14公顷，唐山市域范围内738.45公顷），秦皇岛市域范围内陆域自然保护地面积占全市陆域国土面积的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6.82</w:t>
      </w: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bidi="ar-SA"/>
        </w:rPr>
        <w:t>%；海域面积382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 w:bidi="ar-SA"/>
        </w:rPr>
        <w:t>92.04</w:t>
      </w:r>
      <w:r>
        <w:rPr>
          <w:rFonts w:hint="default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bidi="ar-SA"/>
        </w:rPr>
        <w:t>公顷，占全市海域面积的21.33%。</w:t>
      </w:r>
    </w:p>
    <w:bookmarkEnd w:id="28"/>
    <w:p w14:paraId="164095A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29" w:name="_Toc9101"/>
      <w:bookmarkStart w:id="30" w:name="_Toc131163728"/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（一）分类分级</w:t>
      </w:r>
      <w:bookmarkEnd w:id="29"/>
      <w:bookmarkEnd w:id="30"/>
    </w:p>
    <w:p w14:paraId="17FD8376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按类型，自然保护地分为自然保护区、自然公园两大类。其中，自然公园包括风景名胜区、森林公园、湿地公园、海洋公园。</w:t>
      </w:r>
    </w:p>
    <w:p w14:paraId="4EC9C8A0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按批准设立层级，自然保护地分为国家级、地方级。其中，国家级自然保护区、国家级风景名胜区由国务院批准设立，其他国家级自然公园由国家林草局批准设立；地方级自然保护地由省级人民政府批准设立。</w:t>
      </w:r>
    </w:p>
    <w:p w14:paraId="7AACE9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562" w:firstLineChars="200"/>
        <w:jc w:val="both"/>
        <w:textAlignment w:val="auto"/>
        <w:outlineLvl w:val="2"/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/>
        </w:rPr>
      </w:pPr>
      <w:bookmarkStart w:id="31" w:name="_Toc60222813"/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/>
        </w:rPr>
        <w:t>自然保护区</w:t>
      </w:r>
      <w:bookmarkEnd w:id="31"/>
    </w:p>
    <w:p w14:paraId="04A90EB0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整合优化后自然保护区共3个，总面积为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39767.9</w:t>
      </w:r>
      <w:r>
        <w:rPr>
          <w:rFonts w:hint="eastAsia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9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公顷。</w:t>
      </w:r>
    </w:p>
    <w:p w14:paraId="308E28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bookmarkStart w:id="32" w:name="_Hlk99868137"/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整合优化后国家级自然保护区2个，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总面积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35067.34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公顷，其中：河北柳江盆地地质遗迹国家级自然保护区，面积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1463.6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6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公顷、河北昌黎黄金海岸国家级自然保护区，面积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33603.68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公顷。</w:t>
      </w:r>
    </w:p>
    <w:p w14:paraId="5E858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地方级自然保护区1个，河北青龙都山省级自然保护区面积4700.6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公顷。</w:t>
      </w:r>
    </w:p>
    <w:bookmarkEnd w:id="32"/>
    <w:p w14:paraId="1EFEC48A">
      <w:pPr>
        <w:adjustRightInd w:val="0"/>
        <w:snapToGrid w:val="0"/>
        <w:spacing w:line="600" w:lineRule="exact"/>
        <w:ind w:firstLine="562" w:firstLineChars="200"/>
        <w:jc w:val="both"/>
        <w:outlineLvl w:val="2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bookmarkStart w:id="33" w:name="_Toc60222814"/>
      <w:r>
        <w:rPr>
          <w:rFonts w:hint="default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/>
        </w:rPr>
        <w:t>2.自然公园</w:t>
      </w:r>
      <w:bookmarkEnd w:id="33"/>
      <w:bookmarkStart w:id="34" w:name="_Hlk99868157"/>
    </w:p>
    <w:p w14:paraId="529A407C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整合优化后自然公园</w:t>
      </w:r>
      <w:r>
        <w:rPr>
          <w:rFonts w:hint="eastAsia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个，总面积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/>
        </w:rPr>
        <w:t>52559.9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公顷。</w:t>
      </w:r>
    </w:p>
    <w:p w14:paraId="2E16C0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国家级自然公园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个，面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积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51892.52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公顷，其中：国家级风景名胜区1个（秦皇岛北戴河国家级风景名胜区33151.93公顷）；国家级湿地公园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个（河北北戴河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国家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湿地公园295.26公顷、河北青龙湖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国家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湿地公园8387.46公顷），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国家级湿地公园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总面积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/>
        </w:rPr>
        <w:t>8682.72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公顷；国家级海洋公园1个（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河北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北戴河国家级海洋公园10057.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86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公顷）。</w:t>
      </w:r>
    </w:p>
    <w:p w14:paraId="7400FE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地方级自然公园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1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个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为省级森林公园（河北南山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省级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森林公园667.4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公顷）。</w:t>
      </w:r>
    </w:p>
    <w:bookmarkEnd w:id="34"/>
    <w:p w14:paraId="41BD8F3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35" w:name="_Toc131163729"/>
      <w:bookmarkStart w:id="36" w:name="_Toc331"/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（二）分区管控</w:t>
      </w:r>
      <w:bookmarkEnd w:id="35"/>
      <w:bookmarkEnd w:id="36"/>
    </w:p>
    <w:p w14:paraId="70F70E24">
      <w:pPr>
        <w:widowControl w:val="0"/>
        <w:adjustRightInd w:val="0"/>
        <w:snapToGrid w:val="0"/>
        <w:spacing w:line="600" w:lineRule="atLeast"/>
        <w:ind w:firstLine="56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对自然保护地进行合理分区，实行差别化管控。自然保护区分别由核心保护区和一般控制区组成，自然公园属一般控制区。原则上，核心保护区内禁止人为活动，一般控制区内限制人为活动。</w:t>
      </w:r>
    </w:p>
    <w:p w14:paraId="2890E17E">
      <w:pPr>
        <w:widowControl w:val="0"/>
        <w:adjustRightInd w:val="0"/>
        <w:snapToGrid w:val="0"/>
        <w:spacing w:line="600" w:lineRule="atLeast"/>
        <w:ind w:firstLine="56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全市自然保护地核心保护区面积32312.8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公顷，一般控制区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60015.07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公顷。其中：</w:t>
      </w:r>
    </w:p>
    <w:p w14:paraId="6772BA14">
      <w:pPr>
        <w:widowControl w:val="0"/>
        <w:adjustRightInd w:val="0"/>
        <w:snapToGrid w:val="0"/>
        <w:spacing w:line="600" w:lineRule="atLeast"/>
        <w:ind w:firstLine="56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自然保护区核心保护区32312.8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公顷，占自然保护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区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总面积的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81.25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%；一般控制区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7455.14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公顷，占自然保护区总面积的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18.75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%。</w:t>
      </w:r>
    </w:p>
    <w:p w14:paraId="1491043B">
      <w:pPr>
        <w:widowControl w:val="0"/>
        <w:adjustRightInd w:val="0"/>
        <w:snapToGrid w:val="0"/>
        <w:spacing w:line="600" w:lineRule="atLeast"/>
        <w:ind w:firstLine="56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自然公园按一般控制区管理，总面积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/>
        </w:rPr>
        <w:t>52559.9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公顷。</w:t>
      </w:r>
    </w:p>
    <w:p w14:paraId="7928FA4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37" w:name="_Toc20624"/>
      <w:bookmarkStart w:id="38" w:name="_Toc131163730"/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（三）整合归并</w:t>
      </w:r>
      <w:bookmarkEnd w:id="37"/>
      <w:bookmarkEnd w:id="38"/>
      <w:bookmarkStart w:id="39" w:name="_Hlk99792336"/>
    </w:p>
    <w:bookmarkEnd w:id="39"/>
    <w:p w14:paraId="1AB5719C">
      <w:pPr>
        <w:widowControl w:val="0"/>
        <w:adjustRightInd w:val="0"/>
        <w:snapToGrid w:val="0"/>
        <w:spacing w:line="600" w:lineRule="atLeast"/>
        <w:ind w:firstLine="56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bookmarkStart w:id="40" w:name="_Toc131163731"/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5个自然保护地被整体并入其他自然保护地（秦皇岛老岭市级自然保护区、板厂峪风景名胜区、海滨国家森林公园、山海关国家森林公园、老岭森林公园），1个自然保护地被拆分后并入其他自然保护地（河北秦皇岛柳江国家地质公园）。</w:t>
      </w:r>
    </w:p>
    <w:p w14:paraId="40A8808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41" w:name="_Toc11890"/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（四）调入和调出</w:t>
      </w:r>
      <w:bookmarkEnd w:id="40"/>
      <w:bookmarkEnd w:id="41"/>
    </w:p>
    <w:p w14:paraId="28C8AA68">
      <w:pPr>
        <w:pStyle w:val="4"/>
        <w:adjustRightInd w:val="0"/>
        <w:snapToGrid w:val="0"/>
        <w:spacing w:before="0" w:after="0" w:line="600" w:lineRule="exact"/>
        <w:ind w:firstLine="562" w:firstLineChars="200"/>
        <w:outlineLvl w:val="2"/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28"/>
          <w:szCs w:val="28"/>
          <w:highlight w:val="none"/>
          <w:lang w:val="en-US" w:eastAsia="zh-CN" w:bidi="ar-SA"/>
        </w:rPr>
      </w:pPr>
      <w:bookmarkStart w:id="42" w:name="_Toc131163732"/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28"/>
          <w:szCs w:val="28"/>
          <w:highlight w:val="none"/>
          <w:lang w:val="en-US" w:eastAsia="zh-CN" w:bidi="ar-SA"/>
        </w:rPr>
        <w:t>1.调入生态空间</w:t>
      </w:r>
      <w:bookmarkEnd w:id="42"/>
    </w:p>
    <w:p w14:paraId="694320AF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全市自然保护地共调入空间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981.39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公顷，其中陆域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224.22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公顷，海域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757.17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公顷。根据国土三调地类组成分析，调入区域内森林、草地、海洋等各类生态用地共计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981.39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公顷，占比100%。</w:t>
      </w:r>
    </w:p>
    <w:p w14:paraId="5F47FEE0">
      <w:pPr>
        <w:pStyle w:val="4"/>
        <w:adjustRightInd w:val="0"/>
        <w:snapToGrid w:val="0"/>
        <w:spacing w:before="0" w:after="0" w:line="6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28"/>
          <w:szCs w:val="28"/>
          <w:highlight w:val="none"/>
          <w:lang w:val="en-US" w:eastAsia="zh-CN" w:bidi="ar-SA"/>
        </w:rPr>
      </w:pPr>
      <w:bookmarkStart w:id="43" w:name="_Toc131163733"/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28"/>
          <w:szCs w:val="28"/>
          <w:highlight w:val="none"/>
          <w:lang w:val="en-US" w:eastAsia="zh-CN" w:bidi="ar-SA"/>
        </w:rPr>
        <w:t>2.</w:t>
      </w:r>
      <w:bookmarkStart w:id="44" w:name="_Hlk99785235"/>
      <w:r>
        <w:rPr>
          <w:rFonts w:hint="default" w:ascii="Times New Roman" w:hAnsi="Times New Roman" w:eastAsia="仿宋_GB2312" w:cs="Times New Roman"/>
          <w:b/>
          <w:bCs/>
          <w:color w:val="auto"/>
          <w:kern w:val="0"/>
          <w:sz w:val="28"/>
          <w:szCs w:val="28"/>
          <w:highlight w:val="none"/>
          <w:lang w:val="en-US" w:eastAsia="zh-CN" w:bidi="ar-SA"/>
        </w:rPr>
        <w:t>调出矛盾冲突</w:t>
      </w:r>
      <w:bookmarkEnd w:id="43"/>
    </w:p>
    <w:p w14:paraId="3FCDE14F">
      <w:pPr>
        <w:widowControl w:val="0"/>
        <w:adjustRightInd w:val="0"/>
        <w:snapToGrid w:val="0"/>
        <w:spacing w:line="600" w:lineRule="exact"/>
        <w:ind w:firstLine="560" w:firstLineChars="200"/>
        <w:jc w:val="both"/>
        <w:rPr>
          <w:rFonts w:hint="default" w:ascii="Times New Roman" w:hAnsi="Times New Roman" w:eastAsia="仿宋_GB2312" w:cs="Times New Roman"/>
          <w:b w:val="0"/>
          <w:bCs w:val="0"/>
          <w:color w:val="FF000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整合优化拟从全市自然保护地调出空间10440.86公顷（秦皇岛市域范围内调出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10053.84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公顷，葫芦岛市域范围内调出376.00公顷，承德市域范围内调出11.02公顷）。秦皇岛市域范围内主要包括调出整合到城镇开发边界106.76，耕地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134.48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公顷、人工商品林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200.7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公顷、矿业权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269.94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公顷、城镇村166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5.68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公顷、项目设施用地1297.93公顷，调出其他各类矛盾冲突空间及连带产生的破碎地块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6378.36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  <w:lang w:val="en-US" w:eastAsia="zh-CN" w:bidi="ar-SA"/>
        </w:rPr>
        <w:t>公顷。</w:t>
      </w:r>
    </w:p>
    <w:bookmarkEnd w:id="44"/>
    <w:p w14:paraId="44F816A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45" w:name="_Toc25128"/>
      <w:r>
        <w:rPr>
          <w:rFonts w:hint="eastAsia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（五）</w:t>
      </w:r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其他情况</w:t>
      </w:r>
      <w:bookmarkEnd w:id="45"/>
    </w:p>
    <w:p w14:paraId="6B25BD8A">
      <w:pPr>
        <w:keepNext w:val="0"/>
        <w:keepLines w:val="0"/>
        <w:widowControl w:val="0"/>
        <w:adjustRightInd w:val="0"/>
        <w:snapToGrid w:val="0"/>
        <w:spacing w:before="0" w:after="0" w:line="600" w:lineRule="exact"/>
        <w:ind w:firstLine="560" w:firstLineChars="200"/>
        <w:jc w:val="both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在2024年整合优化成果的基础上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将河北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黄金海岸森林公园899.8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0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公顷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撤销、河北卢龙一渠百库国家湿地公园558.80公顷撤销、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河北渤海省级森林公园</w:t>
      </w: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1051.10公顷撤销。</w:t>
      </w:r>
    </w:p>
    <w:p w14:paraId="0BFD6A10">
      <w:pPr>
        <w:pStyle w:val="2"/>
        <w:numPr>
          <w:ilvl w:val="0"/>
          <w:numId w:val="0"/>
        </w:numPr>
        <w:adjustRightInd w:val="0"/>
        <w:snapToGrid w:val="0"/>
        <w:spacing w:before="0" w:after="0" w:line="600" w:lineRule="exact"/>
        <w:ind w:left="0" w:leftChars="0" w:firstLine="0" w:firstLineChars="0"/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</w:pPr>
      <w:bookmarkStart w:id="46" w:name="_Toc3490"/>
      <w:r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  <w:t>四、实施保障</w:t>
      </w:r>
      <w:bookmarkEnd w:id="46"/>
    </w:p>
    <w:p w14:paraId="39CB077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47" w:name="_Toc27472"/>
      <w:r>
        <w:rPr>
          <w:rFonts w:hint="eastAsia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（一）</w:t>
      </w:r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健全监管体系</w:t>
      </w:r>
      <w:bookmarkEnd w:id="47"/>
    </w:p>
    <w:p w14:paraId="79E42E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强化日常巡护监测：建立网格化巡护体系，利用智能巡护APP、无人机、视频监控等手段，提高巡护覆盖面和效率。重点监控核心保护区、生态敏感区、人为活动频繁区。</w:t>
      </w:r>
    </w:p>
    <w:p w14:paraId="1D79380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48" w:name="_Toc22053"/>
      <w:r>
        <w:rPr>
          <w:rFonts w:hint="eastAsia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（二）</w:t>
      </w:r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加强生态监测</w:t>
      </w:r>
      <w:bookmarkEnd w:id="48"/>
    </w:p>
    <w:p w14:paraId="611036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建立覆盖主要生态系统要素（植被、水文、土壤、大气、野生动物）的常态化监测网络，评估整合优化后的生态成效，为管理决策提供科学支撑。充分利用卫星遥感（RS）、地理信息系统（GIS）、人工智能（AI）等技术手段，开展变化图斑监测、人类活动监测、生态破坏行为智能识别预警（如非法采伐、采石、挖沙、捕捞、违规建设）。</w:t>
      </w:r>
    </w:p>
    <w:p w14:paraId="78E0E17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49" w:name="_Toc23932"/>
      <w:r>
        <w:rPr>
          <w:rFonts w:hint="eastAsia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（三）</w:t>
      </w:r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强化执法监督</w:t>
      </w:r>
      <w:bookmarkEnd w:id="49"/>
    </w:p>
    <w:p w14:paraId="11A7BA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自然资源、林草、生态环境、海洋、农业农村、公安等部门建立常态化联合执法机制。对整合优化后新纳入保护范围的区域，以及调整后管控要求变化的区域，进行重点执法检查。严厉打击违法违规行为（如非法侵占、破坏生态、盗采盗猎）。</w:t>
      </w:r>
    </w:p>
    <w:p w14:paraId="43E1888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50" w:name="_Toc13733"/>
      <w:r>
        <w:rPr>
          <w:rFonts w:hint="eastAsia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（四）</w:t>
      </w:r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强化社会监督</w:t>
      </w:r>
      <w:bookmarkEnd w:id="50"/>
    </w:p>
    <w:p w14:paraId="19B14DD0">
      <w:pPr>
        <w:keepNext w:val="0"/>
        <w:keepLines w:val="0"/>
        <w:widowControl w:val="0"/>
        <w:adjustRightInd w:val="0"/>
        <w:snapToGrid w:val="0"/>
        <w:spacing w:before="0" w:after="0" w:line="600" w:lineRule="exact"/>
        <w:ind w:firstLine="560" w:firstLineChars="200"/>
        <w:jc w:val="both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通过政府网站、官方公众号等平台，定期公开自然保护地管理情况、监测数据（脱敏后）、执法案件信息、项目审批信息、资金使用情况等，保障公众知情权。</w:t>
      </w:r>
    </w:p>
    <w:p w14:paraId="778A9DA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51" w:name="_Toc20878"/>
      <w:r>
        <w:rPr>
          <w:rFonts w:hint="eastAsia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（五）</w:t>
      </w:r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加强正面宣传引导</w:t>
      </w:r>
      <w:bookmarkEnd w:id="51"/>
    </w:p>
    <w:p w14:paraId="54EAF1E4">
      <w:pPr>
        <w:keepNext w:val="0"/>
        <w:keepLines w:val="0"/>
        <w:widowControl w:val="0"/>
        <w:adjustRightInd w:val="0"/>
        <w:snapToGrid w:val="0"/>
        <w:spacing w:before="0" w:after="0" w:line="600" w:lineRule="exact"/>
        <w:ind w:firstLine="560" w:firstLineChars="200"/>
        <w:jc w:val="both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持续、主动地宣传整合优化在提升生态系统质量和稳定性、保护生物多样性、提供优质生态产品方面的重要意义和成效。宣传在解决历史遗留问题、保障原住民合法权益、探索生态惠民路径（如生态管护员岗位、生态旅游特许经营、生态补偿）等方面的具体做法和积极进展。利用传统媒体、新媒体、线下活动、宣传册、标识牌等多种渠道进行全方位宣传。</w:t>
      </w:r>
    </w:p>
    <w:p w14:paraId="64D2EAF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</w:pPr>
      <w:bookmarkStart w:id="52" w:name="_Toc986"/>
      <w:r>
        <w:rPr>
          <w:rFonts w:hint="eastAsia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（六）</w:t>
      </w:r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>保障资金投入</w:t>
      </w:r>
      <w:bookmarkEnd w:id="52"/>
      <w:r>
        <w:rPr>
          <w:rFonts w:hint="default" w:ascii="黑体" w:hAnsi="黑体" w:eastAsia="黑体" w:cs="黑体"/>
          <w:b w:val="0"/>
          <w:bCs w:val="0"/>
          <w:sz w:val="28"/>
          <w:szCs w:val="28"/>
          <w:highlight w:val="none"/>
          <w:lang w:val="en-US" w:eastAsia="zh-CN"/>
        </w:rPr>
        <w:t xml:space="preserve"> </w:t>
      </w:r>
    </w:p>
    <w:p w14:paraId="500301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ind w:firstLine="56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将自然保护地建设管理、历史遗留问题处置、监管能力建设、科普宣教等所需经费纳入市、县（区）财政预算。积极争取中央和省级财政转移支付、生态补偿资金、专项债券等。探索多元化投融资机制。</w:t>
      </w:r>
    </w:p>
    <w:p w14:paraId="4FF9605C">
      <w:pPr>
        <w:keepNext w:val="0"/>
        <w:keepLines w:val="0"/>
        <w:widowControl w:val="0"/>
        <w:adjustRightInd w:val="0"/>
        <w:snapToGrid w:val="0"/>
        <w:spacing w:before="0" w:after="0" w:line="600" w:lineRule="exact"/>
        <w:jc w:val="both"/>
        <w:outlineLvl w:val="9"/>
        <w:rPr>
          <w:rFonts w:hint="default" w:ascii="Times New Roman" w:hAnsi="Times New Roman" w:eastAsia="楷体" w:cs="Times New Roman"/>
          <w:sz w:val="28"/>
          <w:szCs w:val="28"/>
          <w:highlight w:val="none"/>
          <w:lang w:val="en-US" w:eastAsia="zh-CN"/>
        </w:rPr>
      </w:pPr>
    </w:p>
    <w:p w14:paraId="447A1006">
      <w:pPr>
        <w:keepNext w:val="0"/>
        <w:keepLines w:val="0"/>
        <w:widowControl w:val="0"/>
        <w:adjustRightInd w:val="0"/>
        <w:snapToGrid w:val="0"/>
        <w:spacing w:before="0" w:after="0" w:line="600" w:lineRule="exact"/>
        <w:jc w:val="both"/>
        <w:outlineLvl w:val="9"/>
        <w:rPr>
          <w:rFonts w:hint="default" w:ascii="Times New Roman" w:hAnsi="Times New Roman" w:eastAsia="楷体" w:cs="Times New Roman"/>
          <w:sz w:val="28"/>
          <w:szCs w:val="28"/>
          <w:highlight w:val="none"/>
          <w:lang w:val="en-US" w:eastAsia="zh-CN"/>
        </w:rPr>
      </w:pPr>
    </w:p>
    <w:p w14:paraId="14DF2C6D">
      <w:pPr>
        <w:keepNext w:val="0"/>
        <w:keepLines w:val="0"/>
        <w:widowControl w:val="0"/>
        <w:adjustRightInd w:val="0"/>
        <w:snapToGrid w:val="0"/>
        <w:spacing w:before="0" w:after="0" w:line="600" w:lineRule="exact"/>
        <w:jc w:val="both"/>
        <w:outlineLvl w:val="9"/>
        <w:rPr>
          <w:rFonts w:hint="default" w:ascii="Times New Roman" w:hAnsi="Times New Roman" w:eastAsia="楷体" w:cs="Times New Roman"/>
          <w:sz w:val="28"/>
          <w:szCs w:val="28"/>
          <w:highlight w:val="none"/>
          <w:lang w:val="en-US" w:eastAsia="zh-CN"/>
        </w:rPr>
      </w:pPr>
    </w:p>
    <w:p w14:paraId="7DEEE98C">
      <w:pPr>
        <w:keepNext w:val="0"/>
        <w:keepLines w:val="0"/>
        <w:widowControl w:val="0"/>
        <w:adjustRightInd w:val="0"/>
        <w:snapToGrid w:val="0"/>
        <w:spacing w:before="0" w:after="0" w:line="600" w:lineRule="exact"/>
        <w:jc w:val="both"/>
        <w:outlineLvl w:val="9"/>
        <w:rPr>
          <w:rFonts w:hint="default" w:ascii="Times New Roman" w:hAnsi="Times New Roman" w:eastAsia="楷体" w:cs="Times New Roman"/>
          <w:sz w:val="28"/>
          <w:szCs w:val="28"/>
          <w:highlight w:val="none"/>
          <w:lang w:val="en-US" w:eastAsia="zh-CN"/>
        </w:rPr>
      </w:pPr>
    </w:p>
    <w:p w14:paraId="69B34182">
      <w:pPr>
        <w:widowControl w:val="0"/>
        <w:numPr>
          <w:ilvl w:val="0"/>
          <w:numId w:val="0"/>
        </w:numPr>
        <w:adjustRightInd w:val="0"/>
        <w:snapToGrid w:val="0"/>
        <w:spacing w:line="600" w:lineRule="exact"/>
        <w:jc w:val="both"/>
        <w:outlineLvl w:val="0"/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</w:pPr>
      <w:bookmarkStart w:id="53" w:name="_Toc16720"/>
    </w:p>
    <w:p w14:paraId="3080CD81">
      <w:pPr>
        <w:widowControl w:val="0"/>
        <w:numPr>
          <w:ilvl w:val="0"/>
          <w:numId w:val="0"/>
        </w:numPr>
        <w:adjustRightInd w:val="0"/>
        <w:snapToGrid w:val="0"/>
        <w:spacing w:line="600" w:lineRule="exact"/>
        <w:jc w:val="both"/>
        <w:outlineLvl w:val="0"/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  <w:t>附表</w:t>
      </w:r>
      <w:bookmarkEnd w:id="53"/>
    </w:p>
    <w:p w14:paraId="5A5D5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jc w:val="center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 xml:space="preserve">附表1 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整合优化前后自然保护地情况对比</w:t>
      </w:r>
    </w:p>
    <w:p w14:paraId="00B9A531">
      <w:pPr>
        <w:spacing w:line="300" w:lineRule="exact"/>
        <w:ind w:firstLine="1913" w:firstLineChars="911"/>
        <w:jc w:val="right"/>
        <w:outlineLvl w:val="9"/>
        <w:rPr>
          <w:rFonts w:hint="default" w:ascii="Times New Roman" w:hAnsi="Times New Roman" w:eastAsia="仿宋_GB2312" w:cs="Times New Roman"/>
          <w:sz w:val="21"/>
          <w:szCs w:val="21"/>
          <w:highlight w:val="none"/>
        </w:rPr>
      </w:pPr>
      <w:r>
        <w:rPr>
          <w:rFonts w:hint="default" w:ascii="Times New Roman" w:hAnsi="Times New Roman" w:eastAsia="仿宋_GB2312" w:cs="Times New Roman"/>
          <w:sz w:val="21"/>
          <w:szCs w:val="21"/>
          <w:highlight w:val="none"/>
        </w:rPr>
        <w:t>单位：个，公顷</w:t>
      </w:r>
    </w:p>
    <w:tbl>
      <w:tblPr>
        <w:tblStyle w:val="1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36"/>
        <w:gridCol w:w="698"/>
        <w:gridCol w:w="1236"/>
        <w:gridCol w:w="1416"/>
        <w:gridCol w:w="936"/>
        <w:gridCol w:w="698"/>
        <w:gridCol w:w="1116"/>
      </w:tblGrid>
      <w:tr w14:paraId="1E979F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gridSpan w:val="4"/>
            <w:shd w:val="clear" w:color="auto" w:fill="auto"/>
            <w:noWrap/>
            <w:vAlign w:val="center"/>
          </w:tcPr>
          <w:p w14:paraId="6DE1511C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整合优化前</w:t>
            </w:r>
          </w:p>
        </w:tc>
        <w:tc>
          <w:tcPr>
            <w:tcW w:w="0" w:type="auto"/>
            <w:gridSpan w:val="4"/>
            <w:shd w:val="clear" w:color="auto" w:fill="auto"/>
            <w:noWrap/>
            <w:vAlign w:val="center"/>
          </w:tcPr>
          <w:p w14:paraId="10718FBE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整合优化后</w:t>
            </w:r>
          </w:p>
        </w:tc>
      </w:tr>
      <w:tr w14:paraId="1263AF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gridSpan w:val="2"/>
            <w:shd w:val="clear" w:color="auto" w:fill="auto"/>
            <w:noWrap/>
            <w:vAlign w:val="center"/>
          </w:tcPr>
          <w:p w14:paraId="2C3A71C3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自然保护地类型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6544F8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179F9F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面积</w:t>
            </w:r>
          </w:p>
        </w:tc>
        <w:tc>
          <w:tcPr>
            <w:tcW w:w="0" w:type="auto"/>
            <w:gridSpan w:val="2"/>
            <w:shd w:val="clear" w:color="auto" w:fill="auto"/>
            <w:noWrap/>
            <w:vAlign w:val="center"/>
          </w:tcPr>
          <w:p w14:paraId="38D9CAA1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自然保护地类型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2A7FD6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807348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面积</w:t>
            </w:r>
          </w:p>
        </w:tc>
      </w:tr>
      <w:tr w14:paraId="27AD06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2C7DC845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自然保护区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D2F3A4">
            <w:pPr>
              <w:adjustRightInd w:val="0"/>
              <w:snapToGrid w:val="0"/>
              <w:spacing w:line="300" w:lineRule="atLeast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1FE2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685C6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4809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8.88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193E0F6B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自然保护区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60100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E032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00F10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39767.9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 w14:paraId="70BA9C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shd w:val="clear" w:color="auto" w:fill="auto"/>
            <w:vAlign w:val="center"/>
          </w:tcPr>
          <w:p w14:paraId="5AC9CD7B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6AEC91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AE0F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753C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3498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9.94</w:t>
            </w: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 w14:paraId="0A68B2BB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311144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6867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5CE76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35067.34</w:t>
            </w:r>
          </w:p>
        </w:tc>
      </w:tr>
      <w:tr w14:paraId="2F61F36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shd w:val="clear" w:color="auto" w:fill="auto"/>
            <w:vAlign w:val="center"/>
          </w:tcPr>
          <w:p w14:paraId="0F887D92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CD34F7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省级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6773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67629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4702.96</w:t>
            </w:r>
          </w:p>
        </w:tc>
        <w:tc>
          <w:tcPr>
            <w:tcW w:w="0" w:type="auto"/>
            <w:vMerge w:val="continue"/>
            <w:shd w:val="clear" w:color="auto" w:fill="auto"/>
            <w:vAlign w:val="center"/>
          </w:tcPr>
          <w:p w14:paraId="79C71B9A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22A7F5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A384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2ABF0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4700.6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</w:tr>
      <w:tr w14:paraId="7517E3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shd w:val="clear" w:color="auto" w:fill="auto"/>
            <w:vAlign w:val="center"/>
          </w:tcPr>
          <w:p w14:paraId="3AE6D255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D04BD9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市县级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9C23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36BEA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8405.98</w:t>
            </w:r>
          </w:p>
        </w:tc>
        <w:tc>
          <w:tcPr>
            <w:tcW w:w="0" w:type="auto"/>
            <w:vMerge w:val="continue"/>
            <w:shd w:val="clear" w:color="auto" w:fill="auto"/>
            <w:noWrap/>
            <w:vAlign w:val="center"/>
          </w:tcPr>
          <w:p w14:paraId="1B3F47FA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29F2C9AF">
            <w:pPr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BFB5E2A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268DF86D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</w:tr>
      <w:tr w14:paraId="31D9C9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10E5E83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3812F34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15FE905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5E3F45F6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3B141759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自然公园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7A154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C190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16EDD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52559.9</w:t>
            </w:r>
            <w:r>
              <w:rPr>
                <w:rFonts w:hint="eastAsia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</w:tr>
      <w:tr w14:paraId="2013A3C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529D3F8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B904509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3BE322F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7029D372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vMerge w:val="continue"/>
            <w:shd w:val="clear" w:color="auto" w:fill="auto"/>
            <w:noWrap/>
            <w:vAlign w:val="center"/>
          </w:tcPr>
          <w:p w14:paraId="6FF390B3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7097BA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D299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09722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 w:bidi="ar-SA"/>
              </w:rPr>
              <w:t>51892.51</w:t>
            </w:r>
          </w:p>
        </w:tc>
      </w:tr>
      <w:tr w14:paraId="7BDC9F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C575A0F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60B96D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BB2B4FA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23291EA1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vMerge w:val="continue"/>
            <w:shd w:val="clear" w:color="auto" w:fill="auto"/>
            <w:noWrap/>
            <w:vAlign w:val="center"/>
          </w:tcPr>
          <w:p w14:paraId="3286ADA4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4363F4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EE2D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60281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667.42</w:t>
            </w:r>
          </w:p>
        </w:tc>
      </w:tr>
      <w:tr w14:paraId="3E1191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6B0CF6E6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风景名胜区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DDB7E4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711D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483C7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39362.4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13046AF6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风景名胜区</w:t>
            </w: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53CBD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AE5C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03304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33151.93</w:t>
            </w:r>
          </w:p>
        </w:tc>
      </w:tr>
      <w:tr w14:paraId="41F4A04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vAlign w:val="center"/>
          </w:tcPr>
          <w:p w14:paraId="15F3A89D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6A6871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F439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48AA0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36031.2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vMerge w:val="continue"/>
            <w:vAlign w:val="center"/>
          </w:tcPr>
          <w:p w14:paraId="68825F15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16D3A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CCED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2F013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33151.93</w:t>
            </w:r>
          </w:p>
        </w:tc>
      </w:tr>
      <w:tr w14:paraId="2A9AC9C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vAlign w:val="center"/>
          </w:tcPr>
          <w:p w14:paraId="7C751D09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0981D5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F663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016EA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3331.16</w:t>
            </w:r>
          </w:p>
        </w:tc>
        <w:tc>
          <w:tcPr>
            <w:tcW w:w="0" w:type="auto"/>
            <w:vMerge w:val="continue"/>
            <w:vAlign w:val="center"/>
          </w:tcPr>
          <w:p w14:paraId="3AB36250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2898E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789D850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7ADB51B5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</w:tr>
      <w:tr w14:paraId="0C9585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10CC28EC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森林公园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1F7564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F9E8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09B46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28682.2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61F95014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森林公园</w:t>
            </w: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3672D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7B4BB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6476C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</w:rPr>
              <w:t>667.42</w:t>
            </w:r>
          </w:p>
        </w:tc>
      </w:tr>
      <w:tr w14:paraId="5646EA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vAlign w:val="center"/>
          </w:tcPr>
          <w:p w14:paraId="13419898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A703F8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A1CD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52006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6074.3</w:t>
            </w:r>
          </w:p>
        </w:tc>
        <w:tc>
          <w:tcPr>
            <w:tcW w:w="0" w:type="auto"/>
            <w:vMerge w:val="continue"/>
            <w:vAlign w:val="center"/>
          </w:tcPr>
          <w:p w14:paraId="3292EAB0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64278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06E4D9B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537292BA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</w:tr>
      <w:tr w14:paraId="7FBED6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vAlign w:val="center"/>
          </w:tcPr>
          <w:p w14:paraId="590D2DE4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0EA526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FFF1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6C8EC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22607.9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vMerge w:val="continue"/>
            <w:vAlign w:val="center"/>
          </w:tcPr>
          <w:p w14:paraId="02E121F4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2FF2F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16F6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1C853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667.42</w:t>
            </w:r>
          </w:p>
        </w:tc>
      </w:tr>
      <w:tr w14:paraId="3BDFD8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3A8E1658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地质公园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A815AB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1A8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46BFD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10139.3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4211420D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地质公园</w:t>
            </w: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1EFBC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D0DC7B1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7BAC466F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</w:tr>
      <w:tr w14:paraId="76041A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vAlign w:val="center"/>
          </w:tcPr>
          <w:p w14:paraId="1622D933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0754D10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5EBE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38E48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10139.3</w:t>
            </w:r>
          </w:p>
        </w:tc>
        <w:tc>
          <w:tcPr>
            <w:tcW w:w="0" w:type="auto"/>
            <w:vMerge w:val="continue"/>
            <w:vAlign w:val="center"/>
          </w:tcPr>
          <w:p w14:paraId="33C3A1AC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78DAD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637247A2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2033DFBC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</w:tr>
      <w:tr w14:paraId="011625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vAlign w:val="center"/>
          </w:tcPr>
          <w:p w14:paraId="5B879F35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DC8168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398932DE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78B79E44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648901CD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70FE4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30FF86F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2C909B19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</w:tr>
      <w:tr w14:paraId="105C75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552C878C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湿地公园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1F4C34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1D92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660C4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9508.36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7E93AFCA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湿地公园</w:t>
            </w: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29510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43867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3A315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8682.72</w:t>
            </w:r>
          </w:p>
        </w:tc>
      </w:tr>
      <w:tr w14:paraId="231879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vAlign w:val="center"/>
          </w:tcPr>
          <w:p w14:paraId="75D42263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3201E3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9560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7C222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9508.36</w:t>
            </w:r>
          </w:p>
        </w:tc>
        <w:tc>
          <w:tcPr>
            <w:tcW w:w="0" w:type="auto"/>
            <w:vMerge w:val="continue"/>
            <w:vAlign w:val="center"/>
          </w:tcPr>
          <w:p w14:paraId="7C0E0BD9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3AF1C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33DBA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5C0C2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8682.72</w:t>
            </w:r>
          </w:p>
        </w:tc>
      </w:tr>
      <w:tr w14:paraId="074183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vAlign w:val="center"/>
          </w:tcPr>
          <w:p w14:paraId="67CE7BF2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DFEDD77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59CE518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66E5F050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0206E3A9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11081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CE010A4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49B5BB69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</w:tr>
      <w:tr w14:paraId="0AB4C3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0620420D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海洋公园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5B12BF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54E5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599FD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10215.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</w:tcPr>
          <w:p w14:paraId="367C990C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海洋公园</w:t>
            </w: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0FBB9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4796C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537F4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10057.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</w:tr>
      <w:tr w14:paraId="3A66F7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shd w:val="clear" w:color="auto" w:fill="auto"/>
            <w:noWrap/>
            <w:vAlign w:val="center"/>
          </w:tcPr>
          <w:p w14:paraId="3CADE7C6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1A0636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068AE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4F1E6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10215.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0" w:type="auto"/>
            <w:vMerge w:val="continue"/>
            <w:shd w:val="clear" w:color="auto" w:fill="auto"/>
            <w:noWrap/>
            <w:vAlign w:val="center"/>
          </w:tcPr>
          <w:p w14:paraId="660B6D3F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0C9CE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国家级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1B620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1CD36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10057.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</w:tr>
      <w:tr w14:paraId="399B0F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vMerge w:val="continue"/>
            <w:shd w:val="clear" w:color="auto" w:fill="auto"/>
            <w:noWrap/>
            <w:vAlign w:val="center"/>
          </w:tcPr>
          <w:p w14:paraId="298A198C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4D0A43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552FAAD4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236" w:type="dxa"/>
            <w:shd w:val="clear" w:color="auto" w:fill="auto"/>
            <w:noWrap/>
            <w:vAlign w:val="center"/>
          </w:tcPr>
          <w:p w14:paraId="6CBE179A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0" w:type="auto"/>
            <w:vMerge w:val="continue"/>
            <w:shd w:val="clear" w:color="auto" w:fill="auto"/>
            <w:noWrap/>
            <w:vAlign w:val="center"/>
          </w:tcPr>
          <w:p w14:paraId="0FFC7CD2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shd w:val="clear" w:color="auto" w:fill="auto"/>
            <w:noWrap/>
            <w:vAlign w:val="center"/>
          </w:tcPr>
          <w:p w14:paraId="25D46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地方级</w:t>
            </w:r>
          </w:p>
        </w:tc>
        <w:tc>
          <w:tcPr>
            <w:tcW w:w="698" w:type="dxa"/>
            <w:shd w:val="clear" w:color="auto" w:fill="auto"/>
            <w:noWrap/>
            <w:vAlign w:val="center"/>
          </w:tcPr>
          <w:p w14:paraId="20EB1F5A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  <w:tc>
          <w:tcPr>
            <w:tcW w:w="1116" w:type="dxa"/>
            <w:shd w:val="clear" w:color="auto" w:fill="auto"/>
            <w:noWrap/>
            <w:vAlign w:val="center"/>
          </w:tcPr>
          <w:p w14:paraId="2D16C887">
            <w:pPr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</w:p>
        </w:tc>
      </w:tr>
      <w:tr w14:paraId="0BE1A4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533C0A0D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  <w:t>合计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64AD1692">
            <w:pPr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698" w:type="dxa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23815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236" w:type="dxa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24A2D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146007.17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2F548D64">
            <w:pPr>
              <w:adjustRightInd w:val="0"/>
              <w:snapToGrid w:val="0"/>
              <w:spacing w:line="300" w:lineRule="atLeast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936" w:type="dxa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6BD64454">
            <w:pPr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</w:rPr>
            </w:pPr>
          </w:p>
        </w:tc>
        <w:tc>
          <w:tcPr>
            <w:tcW w:w="698" w:type="dxa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FC79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16" w:type="dxa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0A0DE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92327.9</w:t>
            </w:r>
            <w:r>
              <w:rPr>
                <w:rFonts w:hint="eastAsia" w:ascii="Times New Roman" w:hAnsi="Times New Roman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</w:tr>
    </w:tbl>
    <w:p w14:paraId="7E652B18">
      <w:pPr>
        <w:widowControl w:val="0"/>
        <w:numPr>
          <w:ilvl w:val="0"/>
          <w:numId w:val="0"/>
        </w:numPr>
        <w:adjustRightInd w:val="0"/>
        <w:snapToGrid w:val="0"/>
        <w:spacing w:line="600" w:lineRule="exact"/>
        <w:jc w:val="both"/>
        <w:outlineLvl w:val="9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</w:p>
    <w:p w14:paraId="45D2AF6E">
      <w:pPr>
        <w:widowControl w:val="0"/>
        <w:adjustRightInd w:val="0"/>
        <w:snapToGrid w:val="0"/>
        <w:spacing w:line="600" w:lineRule="exact"/>
        <w:jc w:val="center"/>
        <w:outlineLvl w:val="9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 xml:space="preserve">附表2 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整合优化后国家级自然保护区名录</w:t>
      </w:r>
    </w:p>
    <w:p w14:paraId="73C49E5D">
      <w:pPr>
        <w:spacing w:line="300" w:lineRule="exact"/>
        <w:ind w:firstLine="1913" w:firstLineChars="911"/>
        <w:jc w:val="right"/>
        <w:outlineLvl w:val="9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1"/>
          <w:szCs w:val="21"/>
          <w:highlight w:val="none"/>
        </w:rPr>
        <w:t>单位：公顷</w:t>
      </w:r>
    </w:p>
    <w:tbl>
      <w:tblPr>
        <w:tblStyle w:val="12"/>
        <w:tblW w:w="86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1250"/>
        <w:gridCol w:w="1560"/>
        <w:gridCol w:w="1480"/>
        <w:gridCol w:w="1010"/>
      </w:tblGrid>
      <w:tr w14:paraId="5D1A7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3376" w:type="dxa"/>
            <w:vAlign w:val="center"/>
          </w:tcPr>
          <w:p w14:paraId="7CD5FFAA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名称</w:t>
            </w:r>
          </w:p>
        </w:tc>
        <w:tc>
          <w:tcPr>
            <w:tcW w:w="1250" w:type="dxa"/>
            <w:vAlign w:val="center"/>
          </w:tcPr>
          <w:p w14:paraId="7D2E6B8C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总面积</w:t>
            </w:r>
          </w:p>
        </w:tc>
        <w:tc>
          <w:tcPr>
            <w:tcW w:w="1560" w:type="dxa"/>
            <w:vAlign w:val="center"/>
          </w:tcPr>
          <w:p w14:paraId="3028761F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核心保护区</w:t>
            </w:r>
          </w:p>
        </w:tc>
        <w:tc>
          <w:tcPr>
            <w:tcW w:w="1480" w:type="dxa"/>
            <w:vAlign w:val="center"/>
          </w:tcPr>
          <w:p w14:paraId="3209595C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一般控制区</w:t>
            </w:r>
          </w:p>
        </w:tc>
        <w:tc>
          <w:tcPr>
            <w:tcW w:w="1010" w:type="dxa"/>
            <w:vAlign w:val="center"/>
          </w:tcPr>
          <w:p w14:paraId="619A9B1A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行政区</w:t>
            </w:r>
          </w:p>
        </w:tc>
      </w:tr>
      <w:tr w14:paraId="11E47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3376" w:type="dxa"/>
            <w:vAlign w:val="center"/>
          </w:tcPr>
          <w:p w14:paraId="5839B732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河北柳江盆地地质遗迹国家级自然保护区</w:t>
            </w:r>
          </w:p>
        </w:tc>
        <w:tc>
          <w:tcPr>
            <w:tcW w:w="1250" w:type="dxa"/>
            <w:vAlign w:val="center"/>
          </w:tcPr>
          <w:p w14:paraId="09A04C4E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1463.6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1560" w:type="dxa"/>
            <w:vAlign w:val="center"/>
          </w:tcPr>
          <w:p w14:paraId="65E6B069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1017.07</w:t>
            </w:r>
          </w:p>
        </w:tc>
        <w:tc>
          <w:tcPr>
            <w:tcW w:w="1480" w:type="dxa"/>
            <w:vAlign w:val="center"/>
          </w:tcPr>
          <w:p w14:paraId="4EAE90CC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446.5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1010" w:type="dxa"/>
            <w:vAlign w:val="center"/>
          </w:tcPr>
          <w:p w14:paraId="28779A93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海港区</w:t>
            </w:r>
          </w:p>
        </w:tc>
      </w:tr>
      <w:tr w14:paraId="05727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3376" w:type="dxa"/>
            <w:vAlign w:val="center"/>
          </w:tcPr>
          <w:p w14:paraId="58BFBB28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河北昌黎黄金海岸国家级自然保护区</w:t>
            </w:r>
          </w:p>
        </w:tc>
        <w:tc>
          <w:tcPr>
            <w:tcW w:w="1250" w:type="dxa"/>
            <w:vAlign w:val="center"/>
          </w:tcPr>
          <w:p w14:paraId="26198360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33603.68</w:t>
            </w:r>
          </w:p>
        </w:tc>
        <w:tc>
          <w:tcPr>
            <w:tcW w:w="1560" w:type="dxa"/>
            <w:vAlign w:val="center"/>
          </w:tcPr>
          <w:p w14:paraId="6692A746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28532.44</w:t>
            </w:r>
          </w:p>
        </w:tc>
        <w:tc>
          <w:tcPr>
            <w:tcW w:w="1480" w:type="dxa"/>
            <w:vAlign w:val="center"/>
          </w:tcPr>
          <w:p w14:paraId="399C0259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5071.24</w:t>
            </w:r>
          </w:p>
        </w:tc>
        <w:tc>
          <w:tcPr>
            <w:tcW w:w="1010" w:type="dxa"/>
            <w:vAlign w:val="center"/>
          </w:tcPr>
          <w:p w14:paraId="6E2B8C19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昌黎县</w:t>
            </w:r>
          </w:p>
        </w:tc>
      </w:tr>
    </w:tbl>
    <w:p w14:paraId="36AB18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jc w:val="center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 xml:space="preserve">附表3 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整合优化后国家级风景名胜区名录</w:t>
      </w:r>
    </w:p>
    <w:p w14:paraId="156B1FD9">
      <w:pPr>
        <w:spacing w:line="300" w:lineRule="exact"/>
        <w:ind w:firstLine="1913" w:firstLineChars="911"/>
        <w:jc w:val="right"/>
        <w:outlineLvl w:val="9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1"/>
          <w:szCs w:val="21"/>
          <w:highlight w:val="none"/>
        </w:rPr>
        <w:t>单位：公顷</w:t>
      </w:r>
    </w:p>
    <w:tbl>
      <w:tblPr>
        <w:tblStyle w:val="12"/>
        <w:tblW w:w="507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7"/>
        <w:gridCol w:w="1780"/>
        <w:gridCol w:w="2458"/>
      </w:tblGrid>
      <w:tr w14:paraId="4C8E8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2551" w:type="pct"/>
            <w:vAlign w:val="center"/>
          </w:tcPr>
          <w:p w14:paraId="0F381281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名称</w:t>
            </w:r>
          </w:p>
        </w:tc>
        <w:tc>
          <w:tcPr>
            <w:tcW w:w="1028" w:type="pct"/>
            <w:vAlign w:val="center"/>
          </w:tcPr>
          <w:p w14:paraId="4D214D6E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面积</w:t>
            </w:r>
          </w:p>
        </w:tc>
        <w:tc>
          <w:tcPr>
            <w:tcW w:w="1419" w:type="pct"/>
            <w:vAlign w:val="center"/>
          </w:tcPr>
          <w:p w14:paraId="25909CAF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行政区</w:t>
            </w:r>
          </w:p>
        </w:tc>
      </w:tr>
      <w:tr w14:paraId="138B9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3" w:hRule="exact"/>
        </w:trPr>
        <w:tc>
          <w:tcPr>
            <w:tcW w:w="2551" w:type="pct"/>
            <w:vAlign w:val="center"/>
          </w:tcPr>
          <w:p w14:paraId="19C8AD8D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秦皇岛北戴河国家级风景名胜区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70461C0A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33151.93</w:t>
            </w:r>
          </w:p>
        </w:tc>
        <w:tc>
          <w:tcPr>
            <w:tcW w:w="1419" w:type="pct"/>
            <w:vAlign w:val="center"/>
          </w:tcPr>
          <w:p w14:paraId="4E1934E6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bidi="ar-SA"/>
              </w:rPr>
              <w:t>海港区、山海关区、北戴河区、抚宁区、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 w:bidi="ar-SA"/>
              </w:rPr>
              <w:t>开发区、北戴河新区、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bidi="ar-SA"/>
              </w:rPr>
              <w:t>昌黎县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eastAsia="zh-CN" w:bidi="ar-SA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bidi="ar-SA"/>
              </w:rPr>
              <w:t>卢龙县、青龙满族自治县</w:t>
            </w:r>
          </w:p>
        </w:tc>
      </w:tr>
    </w:tbl>
    <w:p w14:paraId="63801C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jc w:val="center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 xml:space="preserve">附表4 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整合优化后其他国家级自然公园名录</w:t>
      </w:r>
    </w:p>
    <w:p w14:paraId="74862283">
      <w:pPr>
        <w:spacing w:line="300" w:lineRule="exact"/>
        <w:ind w:firstLine="1913" w:firstLineChars="911"/>
        <w:jc w:val="right"/>
        <w:outlineLvl w:val="9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1"/>
          <w:szCs w:val="21"/>
          <w:highlight w:val="none"/>
        </w:rPr>
        <w:t>单位：公顷</w:t>
      </w:r>
    </w:p>
    <w:tbl>
      <w:tblPr>
        <w:tblStyle w:val="12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6"/>
        <w:gridCol w:w="1478"/>
        <w:gridCol w:w="1757"/>
        <w:gridCol w:w="1578"/>
      </w:tblGrid>
      <w:tr w14:paraId="79AAF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2175" w:type="pct"/>
            <w:vAlign w:val="center"/>
          </w:tcPr>
          <w:p w14:paraId="6F22EEF8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名称</w:t>
            </w:r>
          </w:p>
        </w:tc>
        <w:tc>
          <w:tcPr>
            <w:tcW w:w="867" w:type="pct"/>
            <w:vAlign w:val="center"/>
          </w:tcPr>
          <w:p w14:paraId="1DD8361A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类型</w:t>
            </w:r>
          </w:p>
        </w:tc>
        <w:tc>
          <w:tcPr>
            <w:tcW w:w="1031" w:type="pct"/>
            <w:vAlign w:val="center"/>
          </w:tcPr>
          <w:p w14:paraId="08B93FFB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面积</w:t>
            </w:r>
          </w:p>
        </w:tc>
        <w:tc>
          <w:tcPr>
            <w:tcW w:w="926" w:type="pct"/>
            <w:vAlign w:val="center"/>
          </w:tcPr>
          <w:p w14:paraId="7F7D6E09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行政区</w:t>
            </w:r>
          </w:p>
        </w:tc>
      </w:tr>
      <w:tr w14:paraId="502F6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2175" w:type="pct"/>
            <w:vAlign w:val="center"/>
          </w:tcPr>
          <w:p w14:paraId="6CF3BA17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河北北戴河国家湿地公园</w:t>
            </w:r>
          </w:p>
        </w:tc>
        <w:tc>
          <w:tcPr>
            <w:tcW w:w="867" w:type="pct"/>
            <w:vAlign w:val="center"/>
          </w:tcPr>
          <w:p w14:paraId="11338861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湿地公园</w:t>
            </w:r>
          </w:p>
        </w:tc>
        <w:tc>
          <w:tcPr>
            <w:tcW w:w="1031" w:type="pct"/>
            <w:vAlign w:val="center"/>
          </w:tcPr>
          <w:p w14:paraId="193DECEC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295.26</w:t>
            </w:r>
          </w:p>
        </w:tc>
        <w:tc>
          <w:tcPr>
            <w:tcW w:w="926" w:type="pct"/>
            <w:vAlign w:val="center"/>
          </w:tcPr>
          <w:p w14:paraId="30758CC7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北戴河区</w:t>
            </w:r>
          </w:p>
        </w:tc>
      </w:tr>
      <w:tr w14:paraId="3BAD8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2175" w:type="pct"/>
            <w:vAlign w:val="center"/>
          </w:tcPr>
          <w:p w14:paraId="48D91F9D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  <w:t>河北青龙湖国家湿地公园</w:t>
            </w:r>
          </w:p>
        </w:tc>
        <w:tc>
          <w:tcPr>
            <w:tcW w:w="867" w:type="pct"/>
            <w:vAlign w:val="center"/>
          </w:tcPr>
          <w:p w14:paraId="2207145F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湿地公园</w:t>
            </w:r>
          </w:p>
        </w:tc>
        <w:tc>
          <w:tcPr>
            <w:tcW w:w="1031" w:type="pct"/>
            <w:vAlign w:val="center"/>
          </w:tcPr>
          <w:p w14:paraId="1C375E49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8387.46</w:t>
            </w:r>
          </w:p>
        </w:tc>
        <w:tc>
          <w:tcPr>
            <w:tcW w:w="926" w:type="pct"/>
            <w:vAlign w:val="center"/>
          </w:tcPr>
          <w:p w14:paraId="7F600B07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青龙满族自治县</w:t>
            </w:r>
          </w:p>
        </w:tc>
      </w:tr>
      <w:tr w14:paraId="49EA6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2175" w:type="pct"/>
            <w:vAlign w:val="center"/>
          </w:tcPr>
          <w:p w14:paraId="207823A5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河北北戴河国家级海洋公园</w:t>
            </w:r>
          </w:p>
        </w:tc>
        <w:tc>
          <w:tcPr>
            <w:tcW w:w="867" w:type="pct"/>
            <w:vAlign w:val="center"/>
          </w:tcPr>
          <w:p w14:paraId="26EEFE52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海洋公园</w:t>
            </w:r>
          </w:p>
        </w:tc>
        <w:tc>
          <w:tcPr>
            <w:tcW w:w="1031" w:type="pct"/>
            <w:vAlign w:val="center"/>
          </w:tcPr>
          <w:p w14:paraId="0657FEBA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10057.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</w:t>
            </w:r>
          </w:p>
        </w:tc>
        <w:tc>
          <w:tcPr>
            <w:tcW w:w="926" w:type="pct"/>
            <w:vAlign w:val="center"/>
          </w:tcPr>
          <w:p w14:paraId="6F57E23B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北戴河区</w:t>
            </w:r>
          </w:p>
        </w:tc>
      </w:tr>
    </w:tbl>
    <w:p w14:paraId="514BE3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600" w:lineRule="exact"/>
        <w:jc w:val="center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 xml:space="preserve">附表5 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  <w:highlight w:val="none"/>
          <w:lang w:val="en-US" w:eastAsia="zh-CN" w:bidi="ar-SA"/>
        </w:rPr>
        <w:t>整合优化后地方级自然保护地名录</w:t>
      </w:r>
    </w:p>
    <w:p w14:paraId="3C708DD9">
      <w:pPr>
        <w:spacing w:line="300" w:lineRule="exact"/>
        <w:ind w:firstLine="1913" w:firstLineChars="911"/>
        <w:jc w:val="right"/>
        <w:outlineLvl w:val="9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1"/>
          <w:szCs w:val="21"/>
          <w:highlight w:val="none"/>
        </w:rPr>
        <w:t>单位：公顷</w:t>
      </w:r>
    </w:p>
    <w:tbl>
      <w:tblPr>
        <w:tblStyle w:val="12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8"/>
        <w:gridCol w:w="1725"/>
        <w:gridCol w:w="1725"/>
        <w:gridCol w:w="1601"/>
      </w:tblGrid>
      <w:tr w14:paraId="318B5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2035" w:type="pct"/>
            <w:vAlign w:val="center"/>
          </w:tcPr>
          <w:p w14:paraId="6D65DD42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名称</w:t>
            </w:r>
          </w:p>
        </w:tc>
        <w:tc>
          <w:tcPr>
            <w:tcW w:w="1012" w:type="pct"/>
            <w:vAlign w:val="center"/>
          </w:tcPr>
          <w:p w14:paraId="793C8D4D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类型</w:t>
            </w:r>
          </w:p>
        </w:tc>
        <w:tc>
          <w:tcPr>
            <w:tcW w:w="1012" w:type="pct"/>
            <w:vAlign w:val="center"/>
          </w:tcPr>
          <w:p w14:paraId="1A791AA8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面积</w:t>
            </w:r>
          </w:p>
        </w:tc>
        <w:tc>
          <w:tcPr>
            <w:tcW w:w="939" w:type="pct"/>
            <w:vAlign w:val="center"/>
          </w:tcPr>
          <w:p w14:paraId="2EF6D04D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行政区</w:t>
            </w:r>
          </w:p>
        </w:tc>
      </w:tr>
      <w:tr w14:paraId="66FDE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2035" w:type="pct"/>
            <w:vAlign w:val="center"/>
          </w:tcPr>
          <w:p w14:paraId="361D066C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河北青龙都山省级自然保护区</w:t>
            </w:r>
          </w:p>
        </w:tc>
        <w:tc>
          <w:tcPr>
            <w:tcW w:w="1012" w:type="pct"/>
            <w:vAlign w:val="center"/>
          </w:tcPr>
          <w:p w14:paraId="6B45A9FA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自然保护区</w:t>
            </w:r>
          </w:p>
        </w:tc>
        <w:tc>
          <w:tcPr>
            <w:tcW w:w="1012" w:type="pct"/>
            <w:vAlign w:val="center"/>
          </w:tcPr>
          <w:p w14:paraId="0C6029F7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4700.6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939" w:type="pct"/>
            <w:vAlign w:val="center"/>
          </w:tcPr>
          <w:p w14:paraId="393A1B90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青龙满族自治县</w:t>
            </w:r>
          </w:p>
        </w:tc>
      </w:tr>
      <w:tr w14:paraId="49A6A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2035" w:type="pct"/>
            <w:vAlign w:val="center"/>
          </w:tcPr>
          <w:p w14:paraId="4896B41E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河北南山省级森林公园</w:t>
            </w:r>
          </w:p>
        </w:tc>
        <w:tc>
          <w:tcPr>
            <w:tcW w:w="1012" w:type="pct"/>
            <w:vAlign w:val="center"/>
          </w:tcPr>
          <w:p w14:paraId="68158797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森林公园</w:t>
            </w:r>
          </w:p>
        </w:tc>
        <w:tc>
          <w:tcPr>
            <w:tcW w:w="1012" w:type="pct"/>
            <w:vAlign w:val="center"/>
          </w:tcPr>
          <w:p w14:paraId="5EC2EFEA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sz w:val="24"/>
              </w:rPr>
              <w:t>667.42</w:t>
            </w:r>
          </w:p>
        </w:tc>
        <w:tc>
          <w:tcPr>
            <w:tcW w:w="939" w:type="pct"/>
            <w:vAlign w:val="center"/>
          </w:tcPr>
          <w:p w14:paraId="7339063B">
            <w:pPr>
              <w:widowControl w:val="0"/>
              <w:adjustRightInd w:val="0"/>
              <w:snapToGrid w:val="0"/>
              <w:spacing w:line="300" w:lineRule="atLeast"/>
              <w:jc w:val="center"/>
              <w:outlineLvl w:val="9"/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highlight w:val="none"/>
                <w:lang w:val="en-US" w:eastAsia="zh-CN"/>
              </w:rPr>
              <w:t>青龙满族自治县</w:t>
            </w:r>
          </w:p>
        </w:tc>
      </w:tr>
    </w:tbl>
    <w:p w14:paraId="464565B3">
      <w:pPr>
        <w:widowControl w:val="0"/>
        <w:numPr>
          <w:ilvl w:val="0"/>
          <w:numId w:val="0"/>
        </w:numPr>
        <w:adjustRightInd w:val="0"/>
        <w:snapToGrid w:val="0"/>
        <w:spacing w:line="600" w:lineRule="exact"/>
        <w:jc w:val="both"/>
        <w:outlineLvl w:val="0"/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</w:pPr>
      <w:bookmarkStart w:id="54" w:name="_Toc6285"/>
    </w:p>
    <w:p w14:paraId="343B739D">
      <w:pPr>
        <w:widowControl w:val="0"/>
        <w:numPr>
          <w:ilvl w:val="0"/>
          <w:numId w:val="0"/>
        </w:numPr>
        <w:adjustRightInd w:val="0"/>
        <w:snapToGrid w:val="0"/>
        <w:spacing w:line="600" w:lineRule="exact"/>
        <w:jc w:val="both"/>
        <w:outlineLvl w:val="0"/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  <w:t>附</w:t>
      </w:r>
      <w:r>
        <w:rPr>
          <w:rFonts w:hint="eastAsia" w:ascii="Times New Roman" w:hAnsi="Times New Roman" w:eastAsia="黑体" w:cs="Times New Roman"/>
          <w:b w:val="0"/>
          <w:bCs w:val="0"/>
          <w:kern w:val="44"/>
          <w:sz w:val="32"/>
          <w:szCs w:val="32"/>
          <w:lang w:val="en-US" w:eastAsia="zh-CN" w:bidi="ar-SA"/>
        </w:rPr>
        <w:t>图</w:t>
      </w:r>
      <w:bookmarkEnd w:id="54"/>
    </w:p>
    <w:p w14:paraId="33662FB5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  <w:r>
        <w:rPr>
          <w:rFonts w:hint="eastAsia" w:cs="Times New Roman"/>
          <w:sz w:val="30"/>
          <w:szCs w:val="30"/>
          <w:highlight w:val="none"/>
          <w:lang w:val="en-US" w:eastAsia="zh-CN"/>
        </w:rPr>
        <w:t>1、整合优化前各自然保护地示意图</w:t>
      </w:r>
    </w:p>
    <w:p w14:paraId="2CE8C01F">
      <w:pPr>
        <w:pStyle w:val="10"/>
        <w:ind w:left="0" w:leftChars="0" w:firstLine="0" w:firstLineChars="0"/>
        <w:jc w:val="both"/>
        <w:rPr>
          <w:rFonts w:hint="eastAsia" w:cs="Times New Roman"/>
          <w:sz w:val="44"/>
          <w:szCs w:val="44"/>
          <w:highlight w:val="none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212725</wp:posOffset>
            </wp:positionV>
            <wp:extent cx="832485" cy="747395"/>
            <wp:effectExtent l="0" t="0" r="5715" b="1905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Times New Roman"/>
          <w:sz w:val="44"/>
          <w:szCs w:val="44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133350</wp:posOffset>
            </wp:positionV>
            <wp:extent cx="6120130" cy="6799580"/>
            <wp:effectExtent l="12700" t="12700" r="13970" b="20320"/>
            <wp:wrapNone/>
            <wp:docPr id="1" name="图片 1" descr="整合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整合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995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C718D23">
      <w:pPr>
        <w:pStyle w:val="10"/>
        <w:ind w:left="0" w:leftChars="0" w:firstLine="0" w:firstLineChars="0"/>
        <w:jc w:val="both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2CD3C329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6007CE83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3BD92F2C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7FE2A927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7C4F70A9">
      <w:pPr>
        <w:pStyle w:val="10"/>
        <w:ind w:left="0" w:leftChars="0" w:firstLine="0" w:firstLineChars="0"/>
        <w:jc w:val="both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65DC6D66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7161A425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7A23F79E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402A8D92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6AF7E6F1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7E07077E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31BA5716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76D3C717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41B3BA8A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23FBBE8A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26F4A670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498C4BE4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highlight w:val="none"/>
          <w:lang w:val="en-US" w:eastAsia="zh-CN"/>
        </w:rPr>
      </w:pPr>
    </w:p>
    <w:p w14:paraId="1C84B123">
      <w:pPr>
        <w:pStyle w:val="10"/>
        <w:numPr>
          <w:ilvl w:val="0"/>
          <w:numId w:val="0"/>
        </w:numPr>
        <w:ind w:left="0" w:leftChars="0" w:firstLine="0" w:firstLineChars="0"/>
        <w:jc w:val="both"/>
        <w:rPr>
          <w:rFonts w:hint="eastAsia" w:ascii="Times New Roman" w:hAnsi="Times New Roman" w:eastAsia="宋体" w:cs="Times New Roman"/>
          <w:sz w:val="30"/>
          <w:szCs w:val="30"/>
          <w:lang w:val="en-US" w:eastAsia="zh-CN" w:bidi="ar-SA"/>
        </w:rPr>
      </w:pPr>
    </w:p>
    <w:p w14:paraId="5AD65328">
      <w:pPr>
        <w:pStyle w:val="10"/>
        <w:numPr>
          <w:ilvl w:val="0"/>
          <w:numId w:val="0"/>
        </w:numPr>
        <w:ind w:left="0" w:leftChars="0" w:firstLine="0" w:firstLineChars="0"/>
        <w:jc w:val="center"/>
        <w:rPr>
          <w:rFonts w:hint="eastAsia" w:cs="Times New Roman"/>
          <w:sz w:val="30"/>
          <w:szCs w:val="30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30"/>
          <w:szCs w:val="30"/>
          <w:lang w:val="en-US" w:eastAsia="zh-CN" w:bidi="ar-SA"/>
        </w:rPr>
        <w:t>2、</w:t>
      </w:r>
      <w:r>
        <w:rPr>
          <w:rFonts w:hint="eastAsia" w:cs="Times New Roman"/>
          <w:sz w:val="30"/>
          <w:szCs w:val="30"/>
          <w:highlight w:val="none"/>
          <w:lang w:val="en-US" w:eastAsia="zh-CN"/>
        </w:rPr>
        <w:t>整合优化后各自然保护地示意图</w:t>
      </w:r>
    </w:p>
    <w:p w14:paraId="393B12FF">
      <w:pPr>
        <w:pStyle w:val="10"/>
        <w:numPr>
          <w:ilvl w:val="0"/>
          <w:numId w:val="0"/>
        </w:numPr>
        <w:ind w:leftChars="0"/>
        <w:jc w:val="both"/>
        <w:rPr>
          <w:rFonts w:hint="eastAsia" w:cs="Times New Roman"/>
          <w:sz w:val="30"/>
          <w:szCs w:val="30"/>
          <w:highlight w:val="none"/>
          <w:lang w:val="en-US" w:eastAsia="zh-CN"/>
        </w:rPr>
      </w:pPr>
      <w:r>
        <w:rPr>
          <w:rFonts w:hint="eastAsia" w:cs="Times New Roman"/>
          <w:sz w:val="30"/>
          <w:szCs w:val="30"/>
          <w:highlight w:val="no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57150</wp:posOffset>
            </wp:positionV>
            <wp:extent cx="6120130" cy="6799580"/>
            <wp:effectExtent l="12700" t="12700" r="13970" b="20320"/>
            <wp:wrapNone/>
            <wp:docPr id="5" name="图片 5" descr="整合后（撤销两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整合后（撤销两个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9958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3F3BD29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0C5A4007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4E9D1F87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03796B17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26A0EBEC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175D3FEA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51EA87C4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49BD7809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38766D64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16CEA6B1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71D2B88F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613A17EC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474F47DD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53977864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3B11F8FE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42BDFDFA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4384DD6D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0A928266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57D3610F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260AFCC1">
      <w:pPr>
        <w:pStyle w:val="10"/>
        <w:ind w:left="0" w:leftChars="0" w:firstLine="0" w:firstLineChars="0"/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59DCC2AE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  <w:r>
        <w:rPr>
          <w:rFonts w:hint="eastAsia" w:cs="Times New Roman"/>
          <w:sz w:val="30"/>
          <w:szCs w:val="30"/>
          <w:lang w:val="en-US" w:eastAsia="zh-CN"/>
        </w:rPr>
        <w:t>3、撤销河北黄金海岸森林公园示意图</w:t>
      </w:r>
    </w:p>
    <w:p w14:paraId="06DBFA5C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  <w:r>
        <w:rPr>
          <w:rFonts w:hint="eastAsia" w:cs="Times New Roman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-132715</wp:posOffset>
            </wp:positionH>
            <wp:positionV relativeFrom="page">
              <wp:posOffset>1366520</wp:posOffset>
            </wp:positionV>
            <wp:extent cx="5462270" cy="7919720"/>
            <wp:effectExtent l="0" t="0" r="11430" b="5080"/>
            <wp:wrapNone/>
            <wp:docPr id="2" name="图片 2" descr="撤销森林公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撤销森林公园"/>
                    <pic:cNvPicPr>
                      <a:picLocks noChangeAspect="1"/>
                    </pic:cNvPicPr>
                  </pic:nvPicPr>
                  <pic:blipFill>
                    <a:blip r:embed="rId15"/>
                    <a:srcRect l="3535" t="2198" r="3513" b="2538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53E7D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4846DD28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31BC0164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261551BB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5B6301CB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545ED4AF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0BECE562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7001B079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766B389C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065B40F0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4BA53464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14204C35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44BD7B37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7B7B337D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7CABBDBD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3040D241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2873A439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3498ECCB">
      <w:pPr>
        <w:pStyle w:val="10"/>
        <w:ind w:left="0" w:leftChars="0" w:firstLine="0" w:firstLineChars="0"/>
        <w:jc w:val="both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0BB385C5">
      <w:pPr>
        <w:pStyle w:val="10"/>
        <w:ind w:left="0" w:leftChars="0" w:firstLine="0" w:firstLineChars="0"/>
        <w:jc w:val="both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56739AFA">
      <w:pPr>
        <w:pStyle w:val="10"/>
        <w:ind w:left="0" w:leftChars="0" w:firstLine="0" w:firstLineChars="0"/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2D87CCAA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  <w:r>
        <w:rPr>
          <w:rFonts w:hint="eastAsia" w:cs="Times New Roman"/>
          <w:sz w:val="30"/>
          <w:szCs w:val="30"/>
          <w:lang w:val="en-US" w:eastAsia="zh-CN"/>
        </w:rPr>
        <w:t>4、撤销河北卢龙一渠百库国家湿地公园示意图</w:t>
      </w:r>
    </w:p>
    <w:p w14:paraId="0035B210">
      <w:pPr>
        <w:pStyle w:val="10"/>
        <w:ind w:left="0" w:leftChars="0" w:firstLine="0" w:firstLineChars="0"/>
        <w:jc w:val="both"/>
        <w:rPr>
          <w:rFonts w:hint="eastAsia" w:eastAsia="宋体" w:cs="Times New Roman"/>
          <w:sz w:val="44"/>
          <w:szCs w:val="44"/>
          <w:lang w:val="en-US" w:eastAsia="zh-CN"/>
        </w:rPr>
      </w:pPr>
      <w:r>
        <w:rPr>
          <w:rFonts w:hint="eastAsia" w:eastAsia="宋体" w:cs="Times New Roman"/>
          <w:sz w:val="44"/>
          <w:szCs w:val="4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88265</wp:posOffset>
            </wp:positionV>
            <wp:extent cx="5676265" cy="8103870"/>
            <wp:effectExtent l="12700" t="12700" r="13335" b="24130"/>
            <wp:wrapNone/>
            <wp:docPr id="6" name="图片 6" descr="撤销卢龙一渠百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撤销卢龙一渠百库"/>
                    <pic:cNvPicPr>
                      <a:picLocks noChangeAspect="1"/>
                    </pic:cNvPicPr>
                  </pic:nvPicPr>
                  <pic:blipFill>
                    <a:blip r:embed="rId16"/>
                    <a:srcRect l="2651" t="5803" r="919" b="2395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81038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62CDB1B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479E9078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652DE3A2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0E9F20A8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71963758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63532F49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6DBECA36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2FAD4B48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3FF1EAE1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4B947B3E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3091F587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37FBF5EE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08619B62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118BECFB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05422053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5073F2B5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551106E6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55D88496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7C4B7E46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12997078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3E2D67D7">
      <w:pPr>
        <w:pStyle w:val="10"/>
        <w:numPr>
          <w:ilvl w:val="0"/>
          <w:numId w:val="0"/>
        </w:numPr>
        <w:ind w:left="0" w:leftChars="0" w:firstLine="0" w:firstLineChars="0"/>
        <w:jc w:val="center"/>
        <w:rPr>
          <w:rFonts w:hint="eastAsia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sz w:val="30"/>
          <w:szCs w:val="30"/>
          <w:lang w:val="en-US" w:eastAsia="zh-CN" w:bidi="ar-SA"/>
        </w:rPr>
        <w:t>5、</w:t>
      </w:r>
      <w:r>
        <w:rPr>
          <w:rFonts w:hint="eastAsia" w:cs="Times New Roman"/>
          <w:sz w:val="30"/>
          <w:szCs w:val="30"/>
          <w:lang w:val="en-US" w:eastAsia="zh-CN"/>
        </w:rPr>
        <w:t>撤销河北渤海省级森林公园示意图</w:t>
      </w:r>
    </w:p>
    <w:p w14:paraId="4748EC8D">
      <w:pPr>
        <w:pStyle w:val="10"/>
        <w:numPr>
          <w:ilvl w:val="0"/>
          <w:numId w:val="0"/>
        </w:numPr>
        <w:ind w:leftChars="0"/>
        <w:jc w:val="both"/>
        <w:rPr>
          <w:rFonts w:hint="eastAsia" w:cs="Times New Roman"/>
          <w:sz w:val="30"/>
          <w:szCs w:val="30"/>
          <w:lang w:val="en-US" w:eastAsia="zh-CN"/>
        </w:rPr>
      </w:pPr>
      <w:r>
        <w:rPr>
          <w:rFonts w:hint="eastAsia" w:cs="Times New Roman"/>
          <w:sz w:val="30"/>
          <w:szCs w:val="3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25400</wp:posOffset>
            </wp:positionV>
            <wp:extent cx="6120130" cy="6799580"/>
            <wp:effectExtent l="12700" t="12700" r="13970" b="20320"/>
            <wp:wrapNone/>
            <wp:docPr id="12" name="图片 12" descr="撤销河北渤海省级森林公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撤销河北渤海省级森林公园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995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A56DE66">
      <w:pPr>
        <w:pStyle w:val="10"/>
        <w:numPr>
          <w:ilvl w:val="0"/>
          <w:numId w:val="0"/>
        </w:numPr>
        <w:ind w:leftChars="0"/>
        <w:jc w:val="both"/>
        <w:rPr>
          <w:rFonts w:hint="eastAsia" w:cs="Times New Roman"/>
          <w:sz w:val="30"/>
          <w:szCs w:val="30"/>
          <w:lang w:val="en-US" w:eastAsia="zh-CN"/>
        </w:rPr>
      </w:pPr>
    </w:p>
    <w:p w14:paraId="36FB338A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7ADBF368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2B95EBAD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41246FA1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59C3E077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56911F3E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57572354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273078EA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31E6FF8C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249C77AE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687227D9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6D68AE3F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5555AF24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232F6BFA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21F0F17E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4E55EAC0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59588D61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1402836E">
      <w:pPr>
        <w:pStyle w:val="10"/>
        <w:numPr>
          <w:ilvl w:val="0"/>
          <w:numId w:val="0"/>
        </w:numPr>
        <w:jc w:val="center"/>
        <w:rPr>
          <w:rFonts w:hint="eastAsia" w:cs="Times New Roman"/>
          <w:sz w:val="30"/>
          <w:szCs w:val="30"/>
          <w:lang w:val="en-US" w:eastAsia="zh-CN"/>
        </w:rPr>
      </w:pPr>
    </w:p>
    <w:p w14:paraId="1CEFAB19">
      <w:pPr>
        <w:pStyle w:val="10"/>
        <w:numPr>
          <w:ilvl w:val="0"/>
          <w:numId w:val="0"/>
        </w:numPr>
        <w:jc w:val="both"/>
        <w:rPr>
          <w:rFonts w:hint="eastAsia" w:cs="Times New Roman"/>
          <w:sz w:val="30"/>
          <w:szCs w:val="30"/>
          <w:lang w:val="en-US" w:eastAsia="zh-CN"/>
        </w:rPr>
      </w:pPr>
    </w:p>
    <w:p w14:paraId="5BD99D11">
      <w:pPr>
        <w:pStyle w:val="10"/>
        <w:numPr>
          <w:ilvl w:val="0"/>
          <w:numId w:val="0"/>
        </w:numPr>
        <w:ind w:left="0" w:leftChars="0" w:firstLine="0" w:firstLineChars="0"/>
        <w:jc w:val="center"/>
        <w:rPr>
          <w:rFonts w:hint="eastAsia" w:cs="Times New Roman"/>
          <w:sz w:val="30"/>
          <w:szCs w:val="30"/>
          <w:lang w:val="en-US" w:eastAsia="zh-CN"/>
        </w:rPr>
      </w:pPr>
      <w:r>
        <w:rPr>
          <w:rFonts w:hint="eastAsia" w:cs="Times New Roman"/>
          <w:sz w:val="30"/>
          <w:szCs w:val="30"/>
          <w:lang w:val="en-US" w:eastAsia="zh-CN" w:bidi="ar-SA"/>
        </w:rPr>
        <w:t>6</w:t>
      </w:r>
      <w:r>
        <w:rPr>
          <w:rFonts w:hint="eastAsia" w:ascii="Times New Roman" w:hAnsi="Times New Roman" w:eastAsia="宋体" w:cs="Times New Roman"/>
          <w:sz w:val="30"/>
          <w:szCs w:val="30"/>
          <w:lang w:val="en-US" w:eastAsia="zh-CN" w:bidi="ar-SA"/>
        </w:rPr>
        <w:t>、</w:t>
      </w:r>
      <w:r>
        <w:rPr>
          <w:rFonts w:hint="eastAsia" w:cs="Times New Roman"/>
          <w:sz w:val="30"/>
          <w:szCs w:val="30"/>
          <w:lang w:val="en-US" w:eastAsia="zh-CN"/>
        </w:rPr>
        <w:t>整合优化调出图斑示意图</w:t>
      </w:r>
    </w:p>
    <w:p w14:paraId="2596FFEF">
      <w:pPr>
        <w:pStyle w:val="10"/>
        <w:numPr>
          <w:ilvl w:val="0"/>
          <w:numId w:val="0"/>
        </w:numPr>
        <w:ind w:leftChars="0"/>
        <w:jc w:val="both"/>
        <w:rPr>
          <w:rFonts w:hint="eastAsia" w:cs="Times New Roman"/>
          <w:sz w:val="30"/>
          <w:szCs w:val="30"/>
          <w:lang w:val="en-US" w:eastAsia="zh-CN"/>
        </w:rPr>
      </w:pPr>
      <w:r>
        <w:rPr>
          <w:rFonts w:hint="eastAsia" w:cs="Times New Roman"/>
          <w:sz w:val="30"/>
          <w:szCs w:val="3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6350</wp:posOffset>
            </wp:positionV>
            <wp:extent cx="6120130" cy="6799580"/>
            <wp:effectExtent l="12700" t="12700" r="13970" b="20320"/>
            <wp:wrapNone/>
            <wp:docPr id="14" name="图片 14" descr="调出（含两个撤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调出（含两个撤销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995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3813B37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7EFE44C2">
      <w:pPr>
        <w:pStyle w:val="10"/>
        <w:ind w:left="0" w:leftChars="0" w:firstLine="0" w:firstLineChars="0"/>
        <w:jc w:val="center"/>
        <w:rPr>
          <w:rFonts w:hint="eastAsia" w:eastAsia="宋体" w:cs="Times New Roman"/>
          <w:sz w:val="44"/>
          <w:szCs w:val="44"/>
          <w:lang w:val="en-US" w:eastAsia="zh-CN"/>
        </w:rPr>
      </w:pPr>
    </w:p>
    <w:p w14:paraId="100B5EFE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31783DF2">
      <w:pPr>
        <w:pStyle w:val="10"/>
        <w:ind w:left="0" w:leftChars="0" w:firstLine="0" w:firstLineChars="0"/>
        <w:jc w:val="center"/>
        <w:rPr>
          <w:rFonts w:hint="default" w:cs="Times New Roman"/>
          <w:spacing w:val="-11"/>
          <w:sz w:val="44"/>
          <w:szCs w:val="44"/>
          <w:lang w:val="en-US" w:eastAsia="zh-CN"/>
        </w:rPr>
      </w:pPr>
    </w:p>
    <w:p w14:paraId="09A2D28D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79FBF464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10A04393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2EBB34DB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10A80134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0BADCBD3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0EF6E013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6C240572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1ACAA321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1BA157B5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3367792F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3A9F3061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0557D5AD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78C254A5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08096F13">
      <w:pPr>
        <w:pStyle w:val="10"/>
        <w:ind w:left="0" w:leftChars="0" w:firstLine="0" w:firstLineChars="0"/>
        <w:jc w:val="center"/>
        <w:rPr>
          <w:rFonts w:hint="default" w:cs="Times New Roman"/>
          <w:sz w:val="44"/>
          <w:szCs w:val="44"/>
          <w:lang w:val="en-US" w:eastAsia="zh-CN"/>
        </w:rPr>
      </w:pPr>
    </w:p>
    <w:p w14:paraId="3A8D5D80">
      <w:pPr>
        <w:pStyle w:val="10"/>
        <w:ind w:left="0" w:leftChars="0" w:firstLine="0" w:firstLineChars="0"/>
        <w:jc w:val="both"/>
        <w:rPr>
          <w:rFonts w:hint="default" w:cs="Times New Roman"/>
          <w:sz w:val="44"/>
          <w:szCs w:val="44"/>
          <w:lang w:val="en-US" w:eastAsia="zh-CN"/>
        </w:rPr>
      </w:pPr>
    </w:p>
    <w:p w14:paraId="1259E1CE">
      <w:pPr>
        <w:pStyle w:val="10"/>
        <w:ind w:left="0" w:leftChars="0" w:firstLine="0" w:firstLineChars="0"/>
        <w:jc w:val="center"/>
        <w:rPr>
          <w:rFonts w:hint="eastAsia" w:cs="Times New Roman"/>
          <w:sz w:val="30"/>
          <w:szCs w:val="30"/>
          <w:lang w:val="en-US" w:eastAsia="zh-CN"/>
        </w:rPr>
      </w:pPr>
      <w:r>
        <w:rPr>
          <w:rFonts w:hint="eastAsia" w:cs="Times New Roman"/>
          <w:sz w:val="30"/>
          <w:szCs w:val="30"/>
          <w:lang w:val="en-US" w:eastAsia="zh-CN"/>
        </w:rPr>
        <w:t>7、整合优化调入图斑示意图</w:t>
      </w:r>
    </w:p>
    <w:p w14:paraId="42FD2705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  <w:r>
        <w:rPr>
          <w:rFonts w:hint="eastAsia" w:cs="Times New Roman"/>
          <w:sz w:val="44"/>
          <w:szCs w:val="4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50800</wp:posOffset>
            </wp:positionV>
            <wp:extent cx="6120130" cy="6799580"/>
            <wp:effectExtent l="12700" t="12700" r="13970" b="20320"/>
            <wp:wrapNone/>
            <wp:docPr id="13" name="图片 13" descr="调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调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995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E51C116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7B52C5BC">
      <w:pPr>
        <w:pStyle w:val="10"/>
        <w:ind w:left="0" w:leftChars="0" w:firstLine="0" w:firstLineChars="0"/>
        <w:jc w:val="center"/>
        <w:rPr>
          <w:rFonts w:hint="eastAsia" w:cs="Times New Roman"/>
          <w:sz w:val="44"/>
          <w:szCs w:val="44"/>
          <w:lang w:val="en-US" w:eastAsia="zh-CN"/>
        </w:rPr>
      </w:pPr>
    </w:p>
    <w:p w14:paraId="147E2E1F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79A1C8FA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15208B8D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53683327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514ED001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7C9EBB2B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67E44D38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5442F7C0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1F277B0C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0B5C66D1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3EE77EF5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74CA4021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38E95C71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4C248933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5AAE7DD6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1D2BBBEA">
      <w:pPr>
        <w:pStyle w:val="10"/>
        <w:ind w:left="0" w:leftChars="0" w:firstLine="0" w:firstLineChars="0"/>
        <w:jc w:val="center"/>
        <w:rPr>
          <w:rFonts w:hint="eastAsia" w:cs="Times New Roman"/>
          <w:spacing w:val="-11"/>
          <w:sz w:val="44"/>
          <w:szCs w:val="44"/>
          <w:lang w:val="en-US" w:eastAsia="zh-CN"/>
        </w:rPr>
      </w:pPr>
    </w:p>
    <w:p w14:paraId="5073DADD">
      <w:pPr>
        <w:pStyle w:val="10"/>
        <w:ind w:left="0" w:leftChars="0" w:firstLine="0" w:firstLineChars="0"/>
        <w:jc w:val="both"/>
        <w:rPr>
          <w:rFonts w:hint="default" w:cs="Times New Roman"/>
          <w:spacing w:val="-11"/>
          <w:sz w:val="44"/>
          <w:szCs w:val="44"/>
          <w:lang w:val="en-US" w:eastAsia="zh-CN"/>
        </w:rPr>
      </w:pPr>
    </w:p>
    <w:p w14:paraId="74E6C03E">
      <w:pPr>
        <w:pStyle w:val="10"/>
        <w:ind w:left="0" w:leftChars="0" w:firstLine="0" w:firstLineChars="0"/>
        <w:jc w:val="center"/>
        <w:rPr>
          <w:rFonts w:hint="default" w:cs="Times New Roman"/>
          <w:spacing w:val="-11"/>
          <w:sz w:val="44"/>
          <w:szCs w:val="44"/>
          <w:lang w:val="en-US" w:eastAsia="zh-CN"/>
        </w:rPr>
      </w:pPr>
    </w:p>
    <w:sectPr>
      <w:footerReference r:id="rId10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9D55088-ADC0-4C13-B63B-6AD7BE24EC3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A845742-D503-4F03-B924-2EC87FB7CF7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54CCAD0-E4B3-40CA-BFAF-B16D2D82924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87E0C3D8-3DEF-4667-B4BE-02996F97993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FF15A2B1-6990-484B-8C1D-F1D7921066B0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A203F">
    <w:pPr>
      <w:pStyle w:val="6"/>
      <w:jc w:val="center"/>
    </w:pPr>
  </w:p>
  <w:p w14:paraId="1213ABC3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770D6">
    <w:pPr>
      <w:pStyle w:val="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75ECA">
    <w:pPr>
      <w:pStyle w:val="6"/>
      <w:jc w:val="center"/>
    </w:pPr>
  </w:p>
  <w:p w14:paraId="38F9A991"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0B1557"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EF7B2C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EF7B2C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52EE2B9F">
    <w:pPr>
      <w:pStyle w:val="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8B342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D03AF">
                          <w:pPr>
                            <w:pStyle w:val="6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7D03AF">
                    <w:pPr>
                      <w:pStyle w:val="6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05D10D7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11F8A6"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A260DE">
    <w:pPr>
      <w:pStyle w:val="7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FB23C">
    <w:pPr>
      <w:pStyle w:val="7"/>
      <w:pBdr>
        <w:bottom w:val="none" w:color="auto" w:sz="0" w:space="0"/>
      </w:pBdr>
      <w:jc w:val="left"/>
      <w:rPr>
        <w:rFonts w:ascii="方正小标宋简体" w:hAnsi="楷体" w:eastAsia="方正小标宋简体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0334C"/>
    <w:rsid w:val="02470A4E"/>
    <w:rsid w:val="028A665C"/>
    <w:rsid w:val="033E15C9"/>
    <w:rsid w:val="037454C9"/>
    <w:rsid w:val="03934617"/>
    <w:rsid w:val="04DF4805"/>
    <w:rsid w:val="04E0595E"/>
    <w:rsid w:val="04E23FB7"/>
    <w:rsid w:val="04E664D3"/>
    <w:rsid w:val="06780167"/>
    <w:rsid w:val="08316506"/>
    <w:rsid w:val="08B66FA6"/>
    <w:rsid w:val="09B5523A"/>
    <w:rsid w:val="0B4E1F7B"/>
    <w:rsid w:val="0C213D0C"/>
    <w:rsid w:val="0DC84C58"/>
    <w:rsid w:val="0E231EBD"/>
    <w:rsid w:val="0E7224F8"/>
    <w:rsid w:val="0E884F40"/>
    <w:rsid w:val="0ED158E6"/>
    <w:rsid w:val="0FD01062"/>
    <w:rsid w:val="10BE3CD6"/>
    <w:rsid w:val="12E62E6A"/>
    <w:rsid w:val="12FF34CC"/>
    <w:rsid w:val="131C3268"/>
    <w:rsid w:val="136F2D2F"/>
    <w:rsid w:val="13B1528E"/>
    <w:rsid w:val="1463294F"/>
    <w:rsid w:val="14E93655"/>
    <w:rsid w:val="152D239E"/>
    <w:rsid w:val="16CA2E86"/>
    <w:rsid w:val="17BC3F9E"/>
    <w:rsid w:val="181A3CC8"/>
    <w:rsid w:val="1C6364E4"/>
    <w:rsid w:val="1C6D7E4F"/>
    <w:rsid w:val="1DB533AC"/>
    <w:rsid w:val="1E3E73CA"/>
    <w:rsid w:val="1E6A4663"/>
    <w:rsid w:val="1E70682B"/>
    <w:rsid w:val="1E923588"/>
    <w:rsid w:val="1F042C2C"/>
    <w:rsid w:val="1FA12604"/>
    <w:rsid w:val="1FC443AB"/>
    <w:rsid w:val="20202A10"/>
    <w:rsid w:val="217557F8"/>
    <w:rsid w:val="217E28FF"/>
    <w:rsid w:val="22BE74D2"/>
    <w:rsid w:val="22C10EB5"/>
    <w:rsid w:val="23B139FC"/>
    <w:rsid w:val="2473470D"/>
    <w:rsid w:val="24C04FDC"/>
    <w:rsid w:val="2593390D"/>
    <w:rsid w:val="25E758F8"/>
    <w:rsid w:val="263E0EE7"/>
    <w:rsid w:val="281804F5"/>
    <w:rsid w:val="287A1946"/>
    <w:rsid w:val="2A2811A7"/>
    <w:rsid w:val="2A793AD7"/>
    <w:rsid w:val="2ACE094B"/>
    <w:rsid w:val="2C2B25EB"/>
    <w:rsid w:val="2CE36196"/>
    <w:rsid w:val="3078676B"/>
    <w:rsid w:val="30CD70A7"/>
    <w:rsid w:val="30F836D0"/>
    <w:rsid w:val="311A1F18"/>
    <w:rsid w:val="32106B67"/>
    <w:rsid w:val="32F31E67"/>
    <w:rsid w:val="3318351B"/>
    <w:rsid w:val="33F95E15"/>
    <w:rsid w:val="34036DF7"/>
    <w:rsid w:val="340B21E3"/>
    <w:rsid w:val="34956489"/>
    <w:rsid w:val="34B25DD9"/>
    <w:rsid w:val="34DD7DD2"/>
    <w:rsid w:val="359D2D3F"/>
    <w:rsid w:val="35DB03C0"/>
    <w:rsid w:val="36F74966"/>
    <w:rsid w:val="37B037B0"/>
    <w:rsid w:val="37CE29CF"/>
    <w:rsid w:val="38D40BFF"/>
    <w:rsid w:val="39931EFF"/>
    <w:rsid w:val="39BE5B37"/>
    <w:rsid w:val="39EB2421"/>
    <w:rsid w:val="3A0E6A07"/>
    <w:rsid w:val="3A1478AA"/>
    <w:rsid w:val="3AD10D6D"/>
    <w:rsid w:val="3ADB2686"/>
    <w:rsid w:val="3D4C16AB"/>
    <w:rsid w:val="3D7A63E1"/>
    <w:rsid w:val="3E8F3520"/>
    <w:rsid w:val="3EBE2135"/>
    <w:rsid w:val="3F12486A"/>
    <w:rsid w:val="3F644DAA"/>
    <w:rsid w:val="41CE2BCE"/>
    <w:rsid w:val="42E26997"/>
    <w:rsid w:val="43B12186"/>
    <w:rsid w:val="44041A91"/>
    <w:rsid w:val="4406292C"/>
    <w:rsid w:val="44EB4315"/>
    <w:rsid w:val="4516031F"/>
    <w:rsid w:val="45934594"/>
    <w:rsid w:val="45BB5290"/>
    <w:rsid w:val="46566C52"/>
    <w:rsid w:val="466B45E4"/>
    <w:rsid w:val="46C6695C"/>
    <w:rsid w:val="484D62D8"/>
    <w:rsid w:val="48893221"/>
    <w:rsid w:val="4ABC37DB"/>
    <w:rsid w:val="4BAA5462"/>
    <w:rsid w:val="4C6F3C0D"/>
    <w:rsid w:val="4DA501AA"/>
    <w:rsid w:val="4EAA6138"/>
    <w:rsid w:val="50942CF5"/>
    <w:rsid w:val="530E7C26"/>
    <w:rsid w:val="53A4632A"/>
    <w:rsid w:val="547A36D5"/>
    <w:rsid w:val="568208FE"/>
    <w:rsid w:val="56D76FD4"/>
    <w:rsid w:val="58C50FB6"/>
    <w:rsid w:val="58D446D1"/>
    <w:rsid w:val="591F0D7C"/>
    <w:rsid w:val="5947615E"/>
    <w:rsid w:val="5A422B6B"/>
    <w:rsid w:val="5A7235E9"/>
    <w:rsid w:val="5B1F4B04"/>
    <w:rsid w:val="5BC0102C"/>
    <w:rsid w:val="5C64723B"/>
    <w:rsid w:val="5D410143"/>
    <w:rsid w:val="5E451AD3"/>
    <w:rsid w:val="5F7C7862"/>
    <w:rsid w:val="5FAB28EF"/>
    <w:rsid w:val="6011113D"/>
    <w:rsid w:val="60405265"/>
    <w:rsid w:val="61EB0BE3"/>
    <w:rsid w:val="61F8066B"/>
    <w:rsid w:val="62480C24"/>
    <w:rsid w:val="628356A5"/>
    <w:rsid w:val="62EE4440"/>
    <w:rsid w:val="638914D3"/>
    <w:rsid w:val="651A5927"/>
    <w:rsid w:val="67075FC6"/>
    <w:rsid w:val="67DE56A8"/>
    <w:rsid w:val="6871562E"/>
    <w:rsid w:val="689E166B"/>
    <w:rsid w:val="68F52D7D"/>
    <w:rsid w:val="6A2F1A94"/>
    <w:rsid w:val="6A731776"/>
    <w:rsid w:val="6A844B7F"/>
    <w:rsid w:val="6C87570F"/>
    <w:rsid w:val="6CCD7863"/>
    <w:rsid w:val="6CEB416A"/>
    <w:rsid w:val="6CED3D5D"/>
    <w:rsid w:val="6D602228"/>
    <w:rsid w:val="6DC74667"/>
    <w:rsid w:val="6E7B3979"/>
    <w:rsid w:val="73303517"/>
    <w:rsid w:val="735E2358"/>
    <w:rsid w:val="73D05B89"/>
    <w:rsid w:val="74185868"/>
    <w:rsid w:val="74A71C5B"/>
    <w:rsid w:val="7C101BF4"/>
    <w:rsid w:val="7C5C40BF"/>
    <w:rsid w:val="7D3747D3"/>
    <w:rsid w:val="7DF67825"/>
    <w:rsid w:val="7ECD6280"/>
    <w:rsid w:val="7F67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widowControl w:val="0"/>
      <w:spacing w:before="260" w:after="260" w:line="416" w:lineRule="auto"/>
      <w:jc w:val="both"/>
      <w:outlineLvl w:val="2"/>
    </w:pPr>
    <w:rPr>
      <w:rFonts w:ascii="等线" w:hAnsi="等线" w:eastAsia="等线" w:cs="Times New Roman"/>
      <w:b/>
      <w:bCs/>
      <w:kern w:val="2"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nhideWhenUsed/>
    <w:qFormat/>
    <w:uiPriority w:val="99"/>
    <w:pPr>
      <w:widowControl w:val="0"/>
      <w:spacing w:after="120"/>
      <w:jc w:val="both"/>
    </w:pPr>
    <w:rPr>
      <w:rFonts w:ascii="等线" w:hAnsi="等线" w:eastAsia="等线" w:cs="Times New Roman"/>
      <w:kern w:val="2"/>
      <w:sz w:val="21"/>
      <w:szCs w:val="22"/>
    </w:rPr>
  </w:style>
  <w:style w:type="paragraph" w:styleId="6">
    <w:name w:val="footer"/>
    <w:basedOn w:val="1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="等线" w:hAnsi="等线" w:eastAsia="等线" w:cs="Times New Roman"/>
      <w:kern w:val="2"/>
      <w:sz w:val="18"/>
      <w:szCs w:val="18"/>
    </w:rPr>
  </w:style>
  <w:style w:type="paragraph" w:styleId="7">
    <w:name w:val="header"/>
    <w:basedOn w:val="1"/>
    <w:unhideWhenUsed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等线" w:hAnsi="等线" w:eastAsia="等线" w:cs="Times New Roman"/>
      <w:kern w:val="2"/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Body Text First Indent 2"/>
    <w:basedOn w:val="1"/>
    <w:qFormat/>
    <w:uiPriority w:val="0"/>
    <w:pPr>
      <w:ind w:firstLine="420"/>
    </w:pPr>
    <w:rPr>
      <w:rFonts w:ascii="Times New Roman" w:hAnsi="Times New Roman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纯文本1"/>
    <w:basedOn w:val="15"/>
    <w:qFormat/>
    <w:uiPriority w:val="0"/>
    <w:pPr>
      <w:widowControl w:val="0"/>
      <w:jc w:val="both"/>
    </w:pPr>
    <w:rPr>
      <w:rFonts w:hAnsi="Courier New" w:eastAsia="仿宋_GB2312" w:cs="Courier New"/>
      <w:kern w:val="2"/>
      <w:sz w:val="32"/>
      <w:szCs w:val="21"/>
    </w:rPr>
  </w:style>
  <w:style w:type="paragraph" w:customStyle="1" w:styleId="15">
    <w:name w:val="正文_0"/>
    <w:next w:val="14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customStyle="1" w:styleId="16">
    <w:name w:val="正文1"/>
    <w:basedOn w:val="1"/>
    <w:qFormat/>
    <w:uiPriority w:val="0"/>
    <w:pPr>
      <w:spacing w:before="240" w:after="240" w:line="300" w:lineRule="auto"/>
      <w:ind w:firstLine="200" w:firstLineChars="200"/>
    </w:pPr>
    <w:rPr>
      <w:rFonts w:ascii="Times New Roman" w:hAnsi="Times New Roman" w:eastAsia="仿宋"/>
      <w:sz w:val="28"/>
      <w:szCs w:val="28"/>
    </w:rPr>
  </w:style>
  <w:style w:type="character" w:customStyle="1" w:styleId="17">
    <w:name w:val="font71"/>
    <w:basedOn w:val="13"/>
    <w:qFormat/>
    <w:uiPriority w:val="0"/>
    <w:rPr>
      <w:rFonts w:hint="default" w:ascii="Times New Roman" w:hAnsi="Times New Roman" w:cs="Times New Roman"/>
      <w:color w:val="000000"/>
      <w:sz w:val="16"/>
      <w:szCs w:val="16"/>
      <w:u w:val="none"/>
    </w:rPr>
  </w:style>
  <w:style w:type="character" w:customStyle="1" w:styleId="18">
    <w:name w:val="font31"/>
    <w:basedOn w:val="13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9">
    <w:name w:val="font81"/>
    <w:basedOn w:val="13"/>
    <w:qFormat/>
    <w:uiPriority w:val="0"/>
    <w:rPr>
      <w:rFonts w:hint="default" w:ascii="Times New Roman" w:hAnsi="Times New Roman" w:cs="Times New Roman"/>
      <w:color w:val="000000"/>
      <w:sz w:val="16"/>
      <w:szCs w:val="16"/>
      <w:u w:val="none"/>
    </w:rPr>
  </w:style>
  <w:style w:type="character" w:customStyle="1" w:styleId="20">
    <w:name w:val="font21"/>
    <w:basedOn w:val="13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1">
    <w:name w:val="font41"/>
    <w:basedOn w:val="13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2">
    <w:name w:val="font11"/>
    <w:basedOn w:val="13"/>
    <w:qFormat/>
    <w:uiPriority w:val="0"/>
    <w:rPr>
      <w:rFonts w:hint="default" w:ascii="Times New Roman" w:hAnsi="Times New Roman" w:cs="Times New Roman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7406</Words>
  <Characters>8295</Characters>
  <Lines>0</Lines>
  <Paragraphs>0</Paragraphs>
  <TotalTime>75</TotalTime>
  <ScaleCrop>false</ScaleCrop>
  <LinksUpToDate>false</LinksUpToDate>
  <CharactersWithSpaces>8366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2025-06-10T03:22:00Z</dcterms:created>
  <dc:creator>小雨</dc:creator>
  <cp:lastModifiedBy>樊</cp:lastModifiedBy>
  <dcterms:modified xsi:type="dcterms:W3CDTF">2025-09-15T06:22:23Z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eyJoZGlkIjoiMjY5NDNjYTFkMTA5OTMyZmJhNzUzY2NiMjc2YmY1ZGMiLCJ1c2VySWQiOiI1MTM1ODMzMDIifQ==</vt:lpwstr>
  </property>
  <property fmtid="{D5CDD505-2E9C-101B-9397-08002B2CF9AE}" pid="4" name="ICV">
    <vt:lpwstr>E85BB07A9CB14369BDEB3EFC764887C4_13</vt:lpwstr>
  </property>
</Properties>
</file>