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关于全面加强电子商务领域诚信建设的指导意见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aps w:val="0"/>
          <w:color w:val="222222"/>
          <w:spacing w:val="8"/>
          <w:sz w:val="27"/>
          <w:szCs w:val="27"/>
        </w:rPr>
      </w:pPr>
      <w:r>
        <w:rPr>
          <w:rFonts w:ascii="Arial" w:hAnsi="Arial" w:cs="Arial"/>
          <w:i w:val="0"/>
          <w:iCs w:val="0"/>
          <w:caps w:val="0"/>
          <w:color w:val="3E3E3E"/>
          <w:spacing w:val="8"/>
          <w:sz w:val="27"/>
          <w:szCs w:val="27"/>
          <w:bdr w:val="none" w:color="auto" w:sz="0" w:space="0"/>
          <w:shd w:val="clear" w:fill="FFFFFF"/>
        </w:rPr>
        <w:t>发改财金〔2016〕2794号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各省、自治区、直辖市和新疆生产建设兵团有关部门、机构，社会信用体系建设部际联席会议成员单位：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为建立健全电子商务领域诚信体系，褒扬诚信，惩戒失信，营造良好的市场信用环境，促进电子商务健康快速发展，经国务院同意，现提出以下意见。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一、充分认识加强电子商务领域诚信建设的重要意义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近年来，随着大数据、云计算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信用是电子商务发展的重要基础。经过多年探索创新，我国电子商务领域信用体系建设取得一定进展，但目前失信问题仍十分严重，假冒伪劣、以次充好、虚假广告、服务违约、虚假交易、刷单炒信、恶意差评以及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多管齐下，协同监管。加强政府部门、有关社会组织联动，建立覆盖线上、线下，贯穿生产、交易、支付、物流、客服全流程的电子商务协同监管机制。综合运用随机抽查、专项检查、投诉处理、第三方评价等手段，加大对电子商务失信问题的监管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三、加强电子商务全流程信用建设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三）建立实名登记和认证制度。电子商务平台要落实身份标识和用户实名登记制度，对开办网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四）完善网络交易信用评价体系。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五）加强网络支付管理。加强电子商务平台与非银行支付机构的协调配合。充分发挥非银行支付机构在电子商务账款支付中的作用，防范网络欺诈等行为。进一步完善网络支付服务体系，推动网络支付业务规范化、标准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六）建立寄递物流信用体系。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七）强化消费者权益保障措施。支持和鼓励电子商务平台建立消费者权益保护基金，实施“先行赔付”制度。鼓励商户公开作出信用承诺，参加“规定期限内无条件退货”等活动。电子商务平台和有关市场监管部门建立健全消费者投诉举报制度，加强沟通衔接，及时处理回应消费者反映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四、全面推动电子商务信用信息共建共享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八）建立健全信用记录。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图物不符、假冒伪劣、价格欺诈以及其他不诚信行为信息纳入信用档案，依法报送相关行业主管、监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九）建立事前信用承诺制度。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建立产品信息溯源制度。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一）推动建立线上线下信用信息共享机制。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五、大力实施电子商务信用监管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二）加强第三方大数据监测评价。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三）健全政府部门协同监管机制。构建以信用为核心，以实时监控、智能识别、风险预警、科学处置为主要特点的电子商务新型市场监管体系。建立常态化、长效化的多部门联合执法检查工作机制。实施信用分级分类监管，建立集风险监测、网上抽查、源头追溯、属地查处、信用管理为一体的电子商务信用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四）提高电子商务平台的信用管理水平。支持电子商务平台依法整合线上线下数据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五）落实电子商务平台主体责任。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w:t>
      </w:r>
      <w:bookmarkStart w:id="0" w:name="_GoBack"/>
      <w:bookmarkEnd w:id="0"/>
      <w:r>
        <w:rPr>
          <w:rFonts w:hint="default" w:ascii="Arial" w:hAnsi="Arial" w:cs="Arial"/>
          <w:i w:val="0"/>
          <w:iCs w:val="0"/>
          <w:caps w:val="0"/>
          <w:color w:val="3E3E3E"/>
          <w:spacing w:val="8"/>
          <w:sz w:val="27"/>
          <w:szCs w:val="27"/>
          <w:bdr w:val="none" w:color="auto" w:sz="0" w:space="0"/>
          <w:shd w:val="clear" w:fill="FFFFFF"/>
        </w:rPr>
        <w:t>部门要及时采取约谈、通报等措施，并依法作出行政处罚。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六）更好发挥第三方机构和社会组织在电子商务信用监管中的积极作用。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六、广泛开展电子商务信用联合奖惩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七）加大信用信息公示力度。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八）加大对守信主体的激励力度。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（十九）加大对失信主体的惩戒力度。建立电子商务领域失信主体“黑名单”制度。加大对 “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二十）严厉打击整治电子商务领域违法失信行为。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caps w:val="0"/>
          <w:color w:val="222222"/>
          <w:spacing w:val="8"/>
          <w:sz w:val="27"/>
          <w:szCs w:val="27"/>
        </w:rPr>
      </w:pPr>
      <w:r>
        <w:rPr>
          <w:rStyle w:val="5"/>
          <w:rFonts w:hint="default" w:ascii="Arial" w:hAnsi="Arial" w:cs="Arial"/>
          <w:i w:val="0"/>
          <w:iCs w:val="0"/>
          <w:caps w:val="0"/>
          <w:color w:val="3E3E3E"/>
          <w:spacing w:val="8"/>
          <w:sz w:val="27"/>
          <w:szCs w:val="27"/>
          <w:bdr w:val="none" w:color="auto" w:sz="0" w:space="0"/>
          <w:shd w:val="clear" w:fill="FFFFFF"/>
        </w:rPr>
        <w:t>七、保障措施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二十一）加强诚信文化建设。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考量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（二十二）加强法规标准建设。加快推进电子商务诚信建设相关法律法规建设。研究制定电子商务领域信用信息采集、共享、披露、管理、评价等方面相关标准规范。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2" w:firstLineChars="200"/>
        <w:jc w:val="both"/>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二十三）加强组织领导和工作协调。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r>
        <w:rPr>
          <w:rFonts w:hint="default" w:ascii="Arial" w:hAnsi="Arial" w:cs="Arial"/>
          <w:i w:val="0"/>
          <w:iCs w:val="0"/>
          <w:caps w:val="0"/>
          <w:color w:val="3E3E3E"/>
          <w:spacing w:val="8"/>
          <w:sz w:val="27"/>
          <w:szCs w:val="27"/>
          <w:bdr w:val="none" w:color="auto" w:sz="0" w:space="0"/>
          <w:shd w:val="clear" w:fill="FFFFFF"/>
        </w:rPr>
        <w:br w:type="textWrapping"/>
      </w:r>
      <w:r>
        <w:rPr>
          <w:rFonts w:hint="default" w:ascii="Arial" w:hAnsi="Arial" w:cs="Arial"/>
          <w:i w:val="0"/>
          <w:iCs w:val="0"/>
          <w:caps w:val="0"/>
          <w:color w:val="3E3E3E"/>
          <w:spacing w:val="8"/>
          <w:sz w:val="27"/>
          <w:szCs w:val="27"/>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aps w:val="0"/>
          <w:color w:val="222222"/>
          <w:spacing w:val="8"/>
          <w:sz w:val="27"/>
          <w:szCs w:val="27"/>
        </w:rPr>
      </w:pPr>
      <w:r>
        <w:rPr>
          <w:rFonts w:hint="eastAsia" w:ascii="Arial" w:hAnsi="Arial" w:cs="Arial"/>
          <w:i w:val="0"/>
          <w:iCs w:val="0"/>
          <w:caps w:val="0"/>
          <w:color w:val="3E3E3E"/>
          <w:spacing w:val="8"/>
          <w:sz w:val="27"/>
          <w:szCs w:val="27"/>
          <w:bdr w:val="none" w:color="auto" w:sz="0" w:space="0"/>
          <w:shd w:val="clear" w:fill="FFFFFF"/>
          <w:lang w:val="en-US" w:eastAsia="zh-CN"/>
        </w:rPr>
        <w:t xml:space="preserve">               </w:t>
      </w:r>
      <w:r>
        <w:rPr>
          <w:rFonts w:hint="default" w:ascii="Arial" w:hAnsi="Arial" w:cs="Arial"/>
          <w:i w:val="0"/>
          <w:iCs w:val="0"/>
          <w:caps w:val="0"/>
          <w:color w:val="3E3E3E"/>
          <w:spacing w:val="8"/>
          <w:sz w:val="27"/>
          <w:szCs w:val="27"/>
          <w:bdr w:val="none" w:color="auto" w:sz="0" w:space="0"/>
          <w:shd w:val="clear" w:fill="FFFFFF"/>
        </w:rPr>
        <w:t>国家发展改革委 人民银行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aps w:val="0"/>
          <w:color w:val="222222"/>
          <w:spacing w:val="8"/>
          <w:sz w:val="27"/>
          <w:szCs w:val="27"/>
        </w:rPr>
      </w:pPr>
      <w:r>
        <w:rPr>
          <w:rFonts w:hint="eastAsia" w:ascii="Arial" w:hAnsi="Arial" w:cs="Arial"/>
          <w:i w:val="0"/>
          <w:iCs w:val="0"/>
          <w:caps w:val="0"/>
          <w:color w:val="3E3E3E"/>
          <w:spacing w:val="8"/>
          <w:sz w:val="27"/>
          <w:szCs w:val="27"/>
          <w:bdr w:val="none" w:color="auto" w:sz="0" w:space="0"/>
          <w:shd w:val="clear" w:fill="FFFFFF"/>
          <w:lang w:val="en-US" w:eastAsia="zh-CN"/>
        </w:rPr>
        <w:t xml:space="preserve">              </w:t>
      </w:r>
      <w:r>
        <w:rPr>
          <w:rFonts w:hint="default" w:ascii="Arial" w:hAnsi="Arial" w:cs="Arial"/>
          <w:i w:val="0"/>
          <w:iCs w:val="0"/>
          <w:caps w:val="0"/>
          <w:color w:val="3E3E3E"/>
          <w:spacing w:val="8"/>
          <w:sz w:val="27"/>
          <w:szCs w:val="27"/>
          <w:bdr w:val="none" w:color="auto" w:sz="0" w:space="0"/>
          <w:shd w:val="clear" w:fill="FFFFFF"/>
        </w:rPr>
        <w:t>中央网信办 公安部 交通运输部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718" w:firstLineChars="1300"/>
        <w:jc w:val="left"/>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商务部 工商总局 质检总局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90" w:firstLineChars="1500"/>
        <w:jc w:val="left"/>
        <w:textAlignment w:val="auto"/>
        <w:rPr>
          <w:caps w:val="0"/>
          <w:color w:val="222222"/>
          <w:spacing w:val="8"/>
          <w:sz w:val="27"/>
          <w:szCs w:val="27"/>
        </w:rPr>
      </w:pPr>
      <w:r>
        <w:rPr>
          <w:rFonts w:hint="default" w:ascii="Arial" w:hAnsi="Arial" w:cs="Arial"/>
          <w:i w:val="0"/>
          <w:iCs w:val="0"/>
          <w:caps w:val="0"/>
          <w:color w:val="3E3E3E"/>
          <w:spacing w:val="8"/>
          <w:sz w:val="27"/>
          <w:szCs w:val="27"/>
          <w:bdr w:val="none" w:color="auto" w:sz="0" w:space="0"/>
          <w:shd w:val="clear" w:fill="FFFFFF"/>
        </w:rPr>
        <w:t>食品药品监管总局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eastAsiaTheme="minorEastAsia"/>
          <w:caps w:val="0"/>
          <w:color w:val="222222"/>
          <w:spacing w:val="8"/>
          <w:sz w:val="27"/>
          <w:szCs w:val="27"/>
          <w:lang w:eastAsia="zh-CN"/>
        </w:rPr>
      </w:pPr>
      <w:r>
        <w:rPr>
          <w:rFonts w:hint="eastAsia" w:ascii="Arial" w:hAnsi="Arial" w:cs="Arial"/>
          <w:i w:val="0"/>
          <w:iCs w:val="0"/>
          <w:caps w:val="0"/>
          <w:color w:val="3E3E3E"/>
          <w:spacing w:val="8"/>
          <w:sz w:val="27"/>
          <w:szCs w:val="27"/>
          <w:bdr w:val="none" w:color="auto" w:sz="0" w:space="0"/>
          <w:shd w:val="clear" w:fill="FFFFFF"/>
          <w:lang w:val="en-US" w:eastAsia="zh-CN"/>
        </w:rPr>
        <w:t xml:space="preserve">                      </w:t>
      </w:r>
      <w:r>
        <w:rPr>
          <w:rFonts w:hint="default" w:ascii="Arial" w:hAnsi="Arial" w:cs="Arial"/>
          <w:i w:val="0"/>
          <w:iCs w:val="0"/>
          <w:caps w:val="0"/>
          <w:color w:val="3E3E3E"/>
          <w:spacing w:val="8"/>
          <w:sz w:val="27"/>
          <w:szCs w:val="27"/>
          <w:bdr w:val="none" w:color="auto" w:sz="0" w:space="0"/>
          <w:shd w:val="clear" w:fill="FFFFFF"/>
        </w:rPr>
        <w:t>2016年12月30</w:t>
      </w:r>
      <w:r>
        <w:rPr>
          <w:rFonts w:hint="eastAsia" w:ascii="Arial" w:hAnsi="Arial" w:cs="Arial"/>
          <w:i w:val="0"/>
          <w:iCs w:val="0"/>
          <w:caps w:val="0"/>
          <w:color w:val="3E3E3E"/>
          <w:spacing w:val="8"/>
          <w:sz w:val="27"/>
          <w:szCs w:val="27"/>
          <w:bdr w:val="none" w:color="auto" w:sz="0" w:space="0"/>
          <w:shd w:val="clear" w:fill="FFFFFF"/>
          <w:lang w:eastAsia="zh-CN"/>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026CC431-A989-4359-BF4C-66C7258F6BC8}"/>
  </w:font>
  <w:font w:name="Arial">
    <w:panose1 w:val="020B0604020202020204"/>
    <w:charset w:val="00"/>
    <w:family w:val="auto"/>
    <w:pitch w:val="default"/>
    <w:sig w:usb0="E0002AFF" w:usb1="C0007843" w:usb2="00000009" w:usb3="00000000" w:csb0="400001FF" w:csb1="FFFF0000"/>
    <w:embedRegular r:id="rId2" w:fontKey="{0F3F154B-1D7E-44FA-855A-79190747404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c3MTI2MzNlZjAxMDI0YTkyNjJhNzA5NmFiNWMifQ=="/>
  </w:docVars>
  <w:rsids>
    <w:rsidRoot w:val="00000000"/>
    <w:rsid w:val="3C4D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2022-09-13T01:59:02Z</dcterms:created>
  <dc:creator>ZJZ</dc:creator>
  <cp:lastModifiedBy>触不可及</cp:lastModifiedBy>
  <dcterms:modified xsi:type="dcterms:W3CDTF">2022-09-13T02:03:13Z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558682164EB946AEBC968E7252E489E2</vt:lpwstr>
  </property>
</Properties>
</file>