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atLeas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国务院关于建立完善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atLeas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　　守信联合激励和失信联合惩戒制度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atLeas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　　加快推进社会诚信建设的指导意见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国发〔2016〕33号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rPr>
        <w:t>跨部门、跨领域的守信联合激励和失信联合惩戒机制，促进市场主体依法诚信经营，维护市场正常秩序，营造诚信社会环境。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——褒扬诚信，惩戒失信。充分运用信用激励和约束手段，加大对诚信主体激励和对严重失信主体惩戒力度，让守信者受益、失信者受限，形成褒扬诚信、惩戒失信的制度机制。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部门联动，社会协同。通过信用信息公开和共享，建立跨地区、跨部门、跨领域的联合激励与惩戒机制，形成政府部门协同联动、行业组织自律管理、信用服务机构积极参与、社会舆论广泛监督的共同治理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——依法依规，保护权益。严格依照法律法规和政策规定，科学界定守信和失信行为，开展守信联合激励和失信联合惩戒。建立健全信用修复、异议申诉等机制，保护当事人合法权益。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二、健全褒扬和激励诚信行为机制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三、健全约束和惩戒失信行为机制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九）对重点领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四、构建守信联合激励和失信联合惩戒协同机制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七）建立健全信用信息公示机制。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八）建立健全信用信息归集共享和使用机制。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建立激励和惩戒措施清单制度。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五、加强法规制度和诚信文化建设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四）完善相关法律法规。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六）加强诚信教育和诚信文化建设。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2016年5月30日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（此件公开发布）国务院关于加强政务诚信建设的指导意见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国发〔2016〕76号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为加强政务诚信建设，充分发挥政府在社会信用体系建设中的表率作用，进一步提升政府公信力，推进国家治理体系和治理能力现代化，现提出以下意见。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指导思想。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是坚持依法行政。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是坚持政务公开。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三是坚持勤政高效。进一步优化行政流程，继续清理、削减和调整行政审批事项，推行网上服务、并联服务和服务质量公开承诺等措施，不断提高行政效率和水平。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是坚持守信践诺。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是坚持失信惩戒。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三、探索构建广泛有效的政务诚信监督体系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（一）建立政务诚信专项督导机制。上级人民政府要定期对下级人民政府进行政务诚信监督检查，实施政务诚信考核评价，考评结果作为对下级人民政府绩效考核的重要参考。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（二）建立横向政务诚信监督机制。各级人民政府要依法接受同级人大及其常委会的监督，接受人民政协的民主监督，将办理和落实人大代表建议、政协委员提案的情况作为政务诚信建设的重要考量因素。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建立社会监督和第三方机构评估机制。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四、建立健全政务信用管理体系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加强公务员诚信教育。以社会主义核心价值观为引领，深入开展公务员诚信、守法和道德教育，编制公务员诚信手册，将信用建设纳入公务员培训和领导干部进修课程，加强公务员信用知识学习，提升公务员信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建立健全政务失信记录。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健全守信激励与失信惩戒机制。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健全信用权益保护和信用修复机制。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五、加强重点领域政务诚信建设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加强政府采购领域政务诚信建设。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加强政府和社会资本合作领域政务诚信建设。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加强招标投标领域政务诚信建设。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加强招商引资领域政务诚信建设。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加强地方政府债务领域政务诚信建设。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加强街道和乡镇政务诚信建设。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六、健全保障措施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加强组织领导和工作协调。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加快法规制度建设。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2016年12月22日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汉仪力量黑简">
    <w:panose1 w:val="00020600040101010101"/>
    <w:charset w:val="86"/>
    <w:family w:val="auto"/>
    <w:pitch w:val="default"/>
    <w:sig w:usb0="A00002BF" w:usb1="18EF7CFA" w:usb2="00000016" w:usb3="00000000" w:csb0="00040000"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B14E9174-9F81-4ABA-B345-FC500172325A}"/>
  </w:font>
  <w:font w:name="仿宋_GB2312">
    <w:panose1 w:val="02010609030101010101"/>
    <w:charset w:val="86"/>
    <w:family w:val="auto"/>
    <w:pitch w:val="default"/>
    <w:sig w:usb0="00000001" w:usb1="080E0000" w:usb2="00000000" w:usb3="00000000" w:csb0="00040000" w:csb1="00000000"/>
    <w:embedRegular r:id="rId2" w:fontKey="{E0B21C4D-FCA0-476B-8A3C-60CF7FBD32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2C38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2022-09-13T07:53:44Z</dcterms:created>
  <dc:creator>ZJZ</dc:creator>
  <cp:lastModifiedBy>触不可及</cp:lastModifiedBy>
  <dcterms:modified xsi:type="dcterms:W3CDTF">2022-09-13T07:56:29Z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F404AD2422104AAEAE402854869AEF68</vt:lpwstr>
  </property>
</Properties>
</file>